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DD76" w14:textId="77777777" w:rsidR="00304D62" w:rsidRDefault="00304D62">
      <w:pPr>
        <w:jc w:val="center"/>
        <w:rPr>
          <w:sz w:val="44"/>
          <w:szCs w:val="44"/>
        </w:rPr>
      </w:pPr>
    </w:p>
    <w:p w14:paraId="6F4CB59B" w14:textId="77777777" w:rsidR="00304D62" w:rsidRDefault="00304D62">
      <w:pPr>
        <w:jc w:val="center"/>
        <w:rPr>
          <w:sz w:val="44"/>
          <w:szCs w:val="44"/>
        </w:rPr>
      </w:pPr>
    </w:p>
    <w:p w14:paraId="6CDFEEEC" w14:textId="77777777" w:rsidR="00304D62" w:rsidRDefault="00304D62">
      <w:pPr>
        <w:jc w:val="center"/>
        <w:rPr>
          <w:sz w:val="44"/>
          <w:szCs w:val="44"/>
        </w:rPr>
      </w:pPr>
    </w:p>
    <w:p w14:paraId="65DDB810" w14:textId="77777777" w:rsidR="00304D62" w:rsidRDefault="00304D62">
      <w:pPr>
        <w:jc w:val="center"/>
        <w:rPr>
          <w:sz w:val="44"/>
          <w:szCs w:val="44"/>
        </w:rPr>
      </w:pPr>
    </w:p>
    <w:p w14:paraId="05EB200C" w14:textId="5328863C" w:rsidR="00304D62" w:rsidRDefault="00000000">
      <w:pPr>
        <w:spacing w:after="567"/>
        <w:ind w:firstLineChars="0" w:firstLine="0"/>
        <w:jc w:val="center"/>
        <w:rPr>
          <w:rFonts w:ascii="黑体" w:eastAsia="黑体" w:hAnsi="黑体" w:hint="eastAsia"/>
          <w:sz w:val="44"/>
          <w:szCs w:val="44"/>
        </w:rPr>
      </w:pPr>
      <w:r>
        <w:rPr>
          <w:rFonts w:ascii="黑体" w:eastAsia="黑体" w:hAnsi="黑体" w:hint="eastAsia"/>
          <w:sz w:val="44"/>
          <w:szCs w:val="44"/>
        </w:rPr>
        <w:t>《</w:t>
      </w:r>
      <w:r w:rsidR="006E28E1">
        <w:rPr>
          <w:rFonts w:ascii="黑体" w:eastAsia="黑体" w:hAnsi="黑体" w:cs="黑体" w:hint="eastAsia"/>
          <w:sz w:val="48"/>
          <w:szCs w:val="48"/>
        </w:rPr>
        <w:t>气溶胶放射性核素连续测量 高纯锗γ能谱法</w:t>
      </w:r>
      <w:r>
        <w:rPr>
          <w:rFonts w:ascii="黑体" w:eastAsia="黑体" w:hAnsi="黑体" w:hint="eastAsia"/>
          <w:sz w:val="44"/>
          <w:szCs w:val="44"/>
        </w:rPr>
        <w:t>》</w:t>
      </w:r>
    </w:p>
    <w:p w14:paraId="283924DB" w14:textId="77777777" w:rsidR="00304D62" w:rsidRDefault="00000000">
      <w:pPr>
        <w:spacing w:after="567"/>
        <w:ind w:firstLineChars="0" w:firstLine="0"/>
        <w:jc w:val="center"/>
        <w:rPr>
          <w:rFonts w:ascii="黑体" w:eastAsia="黑体" w:hAnsi="黑体" w:hint="eastAsia"/>
          <w:sz w:val="44"/>
          <w:szCs w:val="44"/>
        </w:rPr>
      </w:pPr>
      <w:r>
        <w:rPr>
          <w:rFonts w:ascii="黑体" w:eastAsia="黑体" w:hAnsi="黑体" w:hint="eastAsia"/>
          <w:sz w:val="44"/>
          <w:szCs w:val="44"/>
        </w:rPr>
        <w:t>编制说明</w:t>
      </w:r>
    </w:p>
    <w:p w14:paraId="3347BDC0" w14:textId="77777777" w:rsidR="00304D62" w:rsidRDefault="00304D62">
      <w:pPr>
        <w:ind w:firstLine="640"/>
        <w:jc w:val="center"/>
        <w:rPr>
          <w:rFonts w:ascii="黑体" w:eastAsia="黑体" w:hAnsi="黑体" w:hint="eastAsia"/>
          <w:sz w:val="32"/>
          <w:szCs w:val="32"/>
        </w:rPr>
      </w:pPr>
    </w:p>
    <w:p w14:paraId="62474092" w14:textId="77777777" w:rsidR="00304D62" w:rsidRDefault="00304D62">
      <w:pPr>
        <w:ind w:firstLine="640"/>
        <w:jc w:val="center"/>
        <w:rPr>
          <w:sz w:val="32"/>
          <w:szCs w:val="32"/>
        </w:rPr>
      </w:pPr>
    </w:p>
    <w:p w14:paraId="6285085D" w14:textId="77777777" w:rsidR="00304D62" w:rsidRDefault="00304D62">
      <w:pPr>
        <w:ind w:firstLine="640"/>
        <w:jc w:val="center"/>
        <w:rPr>
          <w:sz w:val="32"/>
          <w:szCs w:val="32"/>
        </w:rPr>
      </w:pPr>
    </w:p>
    <w:p w14:paraId="249EC422" w14:textId="77777777" w:rsidR="00304D62" w:rsidRDefault="00304D62">
      <w:pPr>
        <w:ind w:firstLineChars="0" w:firstLine="0"/>
        <w:rPr>
          <w:sz w:val="32"/>
          <w:szCs w:val="32"/>
        </w:rPr>
      </w:pPr>
    </w:p>
    <w:p w14:paraId="79D718DA" w14:textId="77777777" w:rsidR="00304D62" w:rsidRDefault="00304D62">
      <w:pPr>
        <w:ind w:firstLineChars="0" w:firstLine="0"/>
        <w:rPr>
          <w:sz w:val="32"/>
          <w:szCs w:val="32"/>
        </w:rPr>
      </w:pPr>
    </w:p>
    <w:p w14:paraId="4BE14E7E" w14:textId="77777777" w:rsidR="00304D62" w:rsidRDefault="00304D62">
      <w:pPr>
        <w:ind w:firstLineChars="0" w:firstLine="0"/>
        <w:rPr>
          <w:sz w:val="32"/>
          <w:szCs w:val="32"/>
        </w:rPr>
      </w:pPr>
    </w:p>
    <w:p w14:paraId="1D8D15D0" w14:textId="77777777" w:rsidR="00304D62" w:rsidRDefault="00304D62">
      <w:pPr>
        <w:ind w:firstLineChars="0" w:firstLine="0"/>
        <w:rPr>
          <w:sz w:val="32"/>
          <w:szCs w:val="32"/>
        </w:rPr>
      </w:pPr>
    </w:p>
    <w:p w14:paraId="488A7E77" w14:textId="77777777" w:rsidR="00304D62" w:rsidRDefault="00304D62">
      <w:pPr>
        <w:ind w:firstLine="640"/>
        <w:jc w:val="center"/>
        <w:rPr>
          <w:sz w:val="32"/>
          <w:szCs w:val="32"/>
        </w:rPr>
      </w:pPr>
    </w:p>
    <w:p w14:paraId="04227406" w14:textId="77777777" w:rsidR="00304D62" w:rsidRDefault="00304D62">
      <w:pPr>
        <w:ind w:firstLine="640"/>
        <w:rPr>
          <w:sz w:val="32"/>
          <w:szCs w:val="32"/>
        </w:rPr>
      </w:pPr>
    </w:p>
    <w:p w14:paraId="38C9C706" w14:textId="77777777" w:rsidR="00304D62" w:rsidRDefault="00304D62">
      <w:pPr>
        <w:ind w:firstLine="640"/>
        <w:jc w:val="center"/>
        <w:rPr>
          <w:sz w:val="32"/>
          <w:szCs w:val="32"/>
        </w:rPr>
      </w:pPr>
    </w:p>
    <w:p w14:paraId="2FE4F78A" w14:textId="6261117E" w:rsidR="00304D62" w:rsidRDefault="00000000">
      <w:pPr>
        <w:ind w:firstLineChars="0" w:firstLine="0"/>
        <w:rPr>
          <w:rFonts w:ascii="宋体" w:eastAsia="宋体" w:hAnsi="宋体" w:cs="宋体" w:hint="eastAsia"/>
          <w:sz w:val="32"/>
          <w:szCs w:val="32"/>
        </w:rPr>
      </w:pPr>
      <w:r>
        <w:rPr>
          <w:rFonts w:ascii="宋体" w:eastAsia="宋体" w:hAnsi="宋体" w:cs="宋体" w:hint="eastAsia"/>
          <w:sz w:val="32"/>
          <w:szCs w:val="32"/>
        </w:rPr>
        <w:t>《</w:t>
      </w:r>
      <w:r w:rsidR="006E28E1">
        <w:rPr>
          <w:rFonts w:ascii="宋体" w:eastAsia="宋体" w:hAnsi="宋体" w:cs="宋体" w:hint="eastAsia"/>
          <w:sz w:val="32"/>
          <w:szCs w:val="32"/>
        </w:rPr>
        <w:t>气溶胶放射性核素连续测量 高纯锗γ能谱法</w:t>
      </w:r>
      <w:r>
        <w:rPr>
          <w:rFonts w:ascii="宋体" w:eastAsia="宋体" w:hAnsi="宋体" w:cs="宋体" w:hint="eastAsia"/>
          <w:sz w:val="32"/>
          <w:szCs w:val="32"/>
        </w:rPr>
        <w:t>》编制组</w:t>
      </w:r>
    </w:p>
    <w:p w14:paraId="7DF9321C" w14:textId="564C9AB5" w:rsidR="00304D62" w:rsidRDefault="00000000">
      <w:pPr>
        <w:ind w:firstLine="640"/>
        <w:jc w:val="center"/>
        <w:rPr>
          <w:rFonts w:ascii="宋体" w:eastAsia="宋体" w:hAnsi="宋体" w:cs="宋体" w:hint="eastAsia"/>
          <w:sz w:val="32"/>
          <w:szCs w:val="32"/>
        </w:rPr>
      </w:pPr>
      <w:r>
        <w:rPr>
          <w:rFonts w:ascii="宋体" w:eastAsia="宋体" w:hAnsi="宋体" w:cs="宋体" w:hint="eastAsia"/>
          <w:sz w:val="32"/>
          <w:szCs w:val="32"/>
        </w:rPr>
        <w:t>2025年</w:t>
      </w:r>
      <w:r w:rsidR="003C7F57">
        <w:rPr>
          <w:rFonts w:ascii="宋体" w:eastAsia="宋体" w:hAnsi="宋体" w:cs="宋体" w:hint="eastAsia"/>
          <w:sz w:val="32"/>
          <w:szCs w:val="32"/>
        </w:rPr>
        <w:t>5</w:t>
      </w:r>
      <w:r>
        <w:rPr>
          <w:rFonts w:ascii="宋体" w:eastAsia="宋体" w:hAnsi="宋体" w:cs="宋体" w:hint="eastAsia"/>
          <w:sz w:val="32"/>
          <w:szCs w:val="32"/>
        </w:rPr>
        <w:t>月15日</w:t>
      </w:r>
    </w:p>
    <w:p w14:paraId="5C04593A" w14:textId="77777777" w:rsidR="00304D62" w:rsidRDefault="00000000">
      <w:pPr>
        <w:adjustRightInd w:val="0"/>
        <w:snapToGrid w:val="0"/>
        <w:ind w:firstLine="560"/>
      </w:pPr>
      <w:r>
        <w:br w:type="page"/>
      </w:r>
    </w:p>
    <w:p w14:paraId="2DDFE60E" w14:textId="77777777" w:rsidR="00304D62" w:rsidRDefault="00304D62">
      <w:pPr>
        <w:adjustRightInd w:val="0"/>
        <w:snapToGrid w:val="0"/>
        <w:ind w:firstLine="560"/>
      </w:pPr>
    </w:p>
    <w:p w14:paraId="018974B7" w14:textId="77777777" w:rsidR="00304D62" w:rsidRDefault="00000000">
      <w:pPr>
        <w:ind w:firstLine="640"/>
        <w:jc w:val="center"/>
        <w:rPr>
          <w:rFonts w:ascii="黑体" w:eastAsia="黑体" w:hAnsi="黑体" w:hint="eastAsia"/>
          <w:szCs w:val="32"/>
        </w:rPr>
      </w:pPr>
      <w:bookmarkStart w:id="0" w:name="_Toc10729"/>
      <w:r>
        <w:rPr>
          <w:rFonts w:ascii="黑体" w:eastAsia="黑体" w:hAnsi="黑体" w:cs="黑体" w:hint="eastAsia"/>
          <w:sz w:val="32"/>
          <w:szCs w:val="32"/>
        </w:rPr>
        <w:t>目  次</w:t>
      </w:r>
      <w:bookmarkEnd w:id="0"/>
    </w:p>
    <w:sdt>
      <w:sdtPr>
        <w:rPr>
          <w:rFonts w:ascii="宋体" w:eastAsia="宋体" w:hAnsi="宋体"/>
          <w:sz w:val="21"/>
        </w:rPr>
        <w:id w:val="147467899"/>
        <w15:color w:val="DBDBDB"/>
        <w:docPartObj>
          <w:docPartGallery w:val="Table of Contents"/>
          <w:docPartUnique/>
        </w:docPartObj>
      </w:sdtPr>
      <w:sdtContent>
        <w:p w14:paraId="114F4ADA" w14:textId="77777777" w:rsidR="00304D62" w:rsidRDefault="00000000">
          <w:pPr>
            <w:spacing w:line="240" w:lineRule="auto"/>
            <w:ind w:firstLineChars="0" w:firstLine="0"/>
            <w:jc w:val="center"/>
          </w:pPr>
          <w:r>
            <w:fldChar w:fldCharType="begin"/>
          </w:r>
          <w:r>
            <w:instrText xml:space="preserve">TOC \o "1-2" \h \u </w:instrText>
          </w:r>
          <w:r>
            <w:fldChar w:fldCharType="separate"/>
          </w:r>
        </w:p>
        <w:p w14:paraId="29F753C8" w14:textId="77777777" w:rsidR="00304D62" w:rsidRDefault="00304D62">
          <w:pPr>
            <w:pStyle w:val="TOC1"/>
            <w:tabs>
              <w:tab w:val="right" w:leader="dot" w:pos="8306"/>
            </w:tabs>
            <w:ind w:firstLine="560"/>
          </w:pPr>
          <w:hyperlink w:anchor="_Toc3457" w:history="1">
            <w:r>
              <w:rPr>
                <w:rFonts w:ascii="黑体" w:eastAsia="黑体" w:hAnsi="黑体" w:cs="黑体" w:hint="eastAsia"/>
                <w:szCs w:val="32"/>
              </w:rPr>
              <w:t>一、工作简况</w:t>
            </w:r>
            <w:r>
              <w:tab/>
            </w:r>
            <w:r>
              <w:fldChar w:fldCharType="begin"/>
            </w:r>
            <w:r>
              <w:instrText xml:space="preserve"> PAGEREF _Toc3457 \h </w:instrText>
            </w:r>
            <w:r>
              <w:fldChar w:fldCharType="separate"/>
            </w:r>
            <w:r>
              <w:t>4</w:t>
            </w:r>
            <w:r>
              <w:fldChar w:fldCharType="end"/>
            </w:r>
          </w:hyperlink>
        </w:p>
        <w:p w14:paraId="1055E2AF" w14:textId="77777777" w:rsidR="00304D62" w:rsidRDefault="00304D62">
          <w:pPr>
            <w:pStyle w:val="TOC2"/>
            <w:tabs>
              <w:tab w:val="right" w:leader="dot" w:pos="8306"/>
            </w:tabs>
            <w:ind w:left="560" w:firstLine="560"/>
          </w:pPr>
          <w:hyperlink w:anchor="_Toc17493" w:history="1">
            <w:r>
              <w:rPr>
                <w:rFonts w:ascii="仿宋_GB2312" w:hAnsi="宋体" w:hint="eastAsia"/>
                <w:bCs/>
                <w:szCs w:val="30"/>
              </w:rPr>
              <w:t>1.任务来源</w:t>
            </w:r>
            <w:r>
              <w:tab/>
            </w:r>
            <w:r>
              <w:fldChar w:fldCharType="begin"/>
            </w:r>
            <w:r>
              <w:instrText xml:space="preserve"> PAGEREF _Toc17493 \h </w:instrText>
            </w:r>
            <w:r>
              <w:fldChar w:fldCharType="separate"/>
            </w:r>
            <w:r>
              <w:t>4</w:t>
            </w:r>
            <w:r>
              <w:fldChar w:fldCharType="end"/>
            </w:r>
          </w:hyperlink>
        </w:p>
        <w:p w14:paraId="49E60630" w14:textId="77777777" w:rsidR="00304D62" w:rsidRDefault="00304D62">
          <w:pPr>
            <w:pStyle w:val="TOC2"/>
            <w:tabs>
              <w:tab w:val="right" w:leader="dot" w:pos="8306"/>
            </w:tabs>
            <w:ind w:left="560" w:firstLine="560"/>
          </w:pPr>
          <w:hyperlink w:anchor="_Toc10032" w:history="1">
            <w:r>
              <w:rPr>
                <w:rFonts w:ascii="仿宋_GB2312" w:hAnsi="宋体" w:hint="eastAsia"/>
                <w:bCs/>
                <w:szCs w:val="30"/>
              </w:rPr>
              <w:t>2.协作单位</w:t>
            </w:r>
            <w:r>
              <w:tab/>
            </w:r>
            <w:r>
              <w:fldChar w:fldCharType="begin"/>
            </w:r>
            <w:r>
              <w:instrText xml:space="preserve"> PAGEREF _Toc10032 \h </w:instrText>
            </w:r>
            <w:r>
              <w:fldChar w:fldCharType="separate"/>
            </w:r>
            <w:r>
              <w:t>4</w:t>
            </w:r>
            <w:r>
              <w:fldChar w:fldCharType="end"/>
            </w:r>
          </w:hyperlink>
        </w:p>
        <w:p w14:paraId="188840E2" w14:textId="77777777" w:rsidR="00304D62" w:rsidRDefault="00304D62">
          <w:pPr>
            <w:pStyle w:val="TOC2"/>
            <w:tabs>
              <w:tab w:val="right" w:leader="dot" w:pos="8306"/>
            </w:tabs>
            <w:ind w:left="560" w:firstLine="560"/>
          </w:pPr>
          <w:hyperlink w:anchor="_Toc9223" w:history="1">
            <w:r>
              <w:rPr>
                <w:rFonts w:hint="eastAsia"/>
              </w:rPr>
              <w:t>3.</w:t>
            </w:r>
            <w:r>
              <w:rPr>
                <w:rFonts w:ascii="仿宋_GB2312" w:hAnsi="宋体" w:hint="eastAsia"/>
                <w:bCs/>
                <w:szCs w:val="30"/>
              </w:rPr>
              <w:t>制定背景</w:t>
            </w:r>
            <w:r>
              <w:tab/>
            </w:r>
            <w:r>
              <w:fldChar w:fldCharType="begin"/>
            </w:r>
            <w:r>
              <w:instrText xml:space="preserve"> PAGEREF _Toc9223 \h </w:instrText>
            </w:r>
            <w:r>
              <w:fldChar w:fldCharType="separate"/>
            </w:r>
            <w:r>
              <w:t>4</w:t>
            </w:r>
            <w:r>
              <w:fldChar w:fldCharType="end"/>
            </w:r>
          </w:hyperlink>
        </w:p>
        <w:p w14:paraId="3E2DED60" w14:textId="77777777" w:rsidR="00304D62" w:rsidRDefault="00304D62">
          <w:pPr>
            <w:pStyle w:val="TOC2"/>
            <w:tabs>
              <w:tab w:val="right" w:leader="dot" w:pos="8306"/>
            </w:tabs>
            <w:ind w:left="560" w:firstLine="560"/>
          </w:pPr>
          <w:hyperlink w:anchor="_Toc19196" w:history="1">
            <w:r>
              <w:rPr>
                <w:rFonts w:ascii="仿宋_GB2312" w:hAnsi="宋体" w:hint="eastAsia"/>
                <w:bCs/>
                <w:szCs w:val="30"/>
              </w:rPr>
              <w:t>4.起草过程</w:t>
            </w:r>
            <w:r>
              <w:tab/>
            </w:r>
            <w:r>
              <w:fldChar w:fldCharType="begin"/>
            </w:r>
            <w:r>
              <w:instrText xml:space="preserve"> PAGEREF _Toc19196 \h </w:instrText>
            </w:r>
            <w:r>
              <w:fldChar w:fldCharType="separate"/>
            </w:r>
            <w:r>
              <w:t>5</w:t>
            </w:r>
            <w:r>
              <w:fldChar w:fldCharType="end"/>
            </w:r>
          </w:hyperlink>
        </w:p>
        <w:p w14:paraId="02F85C76" w14:textId="77777777" w:rsidR="00304D62" w:rsidRDefault="00304D62">
          <w:pPr>
            <w:pStyle w:val="TOC2"/>
            <w:tabs>
              <w:tab w:val="right" w:leader="dot" w:pos="8306"/>
            </w:tabs>
            <w:ind w:left="560" w:firstLine="560"/>
          </w:pPr>
          <w:hyperlink w:anchor="_Toc5282" w:history="1">
            <w:r>
              <w:rPr>
                <w:rFonts w:ascii="仿宋_GB2312" w:hAnsi="宋体" w:hint="eastAsia"/>
                <w:bCs/>
                <w:szCs w:val="30"/>
              </w:rPr>
              <w:t>5.标准主要起草人</w:t>
            </w:r>
            <w:r>
              <w:tab/>
            </w:r>
            <w:r>
              <w:fldChar w:fldCharType="begin"/>
            </w:r>
            <w:r>
              <w:instrText xml:space="preserve"> PAGEREF _Toc5282 \h </w:instrText>
            </w:r>
            <w:r>
              <w:fldChar w:fldCharType="separate"/>
            </w:r>
            <w:r>
              <w:t>5</w:t>
            </w:r>
            <w:r>
              <w:fldChar w:fldCharType="end"/>
            </w:r>
          </w:hyperlink>
        </w:p>
        <w:p w14:paraId="0CFFD384" w14:textId="77777777" w:rsidR="00304D62" w:rsidRDefault="00304D62">
          <w:pPr>
            <w:pStyle w:val="TOC1"/>
            <w:tabs>
              <w:tab w:val="right" w:leader="dot" w:pos="8306"/>
            </w:tabs>
            <w:ind w:firstLine="560"/>
          </w:pPr>
          <w:hyperlink w:anchor="_Toc30544" w:history="1">
            <w:r>
              <w:rPr>
                <w:rFonts w:ascii="黑体" w:eastAsia="黑体" w:hAnsi="黑体" w:cs="黑体" w:hint="eastAsia"/>
                <w:szCs w:val="32"/>
              </w:rPr>
              <w:t>二、 标准编制原则和确定主要内容的论据</w:t>
            </w:r>
            <w:r>
              <w:tab/>
            </w:r>
            <w:r>
              <w:fldChar w:fldCharType="begin"/>
            </w:r>
            <w:r>
              <w:instrText xml:space="preserve"> PAGEREF _Toc30544 \h </w:instrText>
            </w:r>
            <w:r>
              <w:fldChar w:fldCharType="separate"/>
            </w:r>
            <w:r>
              <w:t>6</w:t>
            </w:r>
            <w:r>
              <w:fldChar w:fldCharType="end"/>
            </w:r>
          </w:hyperlink>
        </w:p>
        <w:p w14:paraId="4D622EB8" w14:textId="77777777" w:rsidR="00304D62" w:rsidRDefault="00304D62">
          <w:pPr>
            <w:pStyle w:val="TOC2"/>
            <w:tabs>
              <w:tab w:val="right" w:leader="dot" w:pos="8306"/>
            </w:tabs>
            <w:ind w:left="560" w:firstLine="560"/>
          </w:pPr>
          <w:hyperlink w:anchor="_Toc24276" w:history="1">
            <w:r>
              <w:rPr>
                <w:rFonts w:ascii="仿宋_GB2312" w:hAnsi="仿宋_GB2312" w:cs="仿宋_GB2312" w:hint="eastAsia"/>
                <w:szCs w:val="30"/>
              </w:rPr>
              <w:t>1.标准编制原则</w:t>
            </w:r>
            <w:r>
              <w:tab/>
            </w:r>
            <w:r>
              <w:fldChar w:fldCharType="begin"/>
            </w:r>
            <w:r>
              <w:instrText xml:space="preserve"> PAGEREF _Toc24276 \h </w:instrText>
            </w:r>
            <w:r>
              <w:fldChar w:fldCharType="separate"/>
            </w:r>
            <w:r>
              <w:t>6</w:t>
            </w:r>
            <w:r>
              <w:fldChar w:fldCharType="end"/>
            </w:r>
          </w:hyperlink>
        </w:p>
        <w:p w14:paraId="4AA7296B" w14:textId="77777777" w:rsidR="00304D62" w:rsidRDefault="00304D62">
          <w:pPr>
            <w:pStyle w:val="TOC2"/>
            <w:tabs>
              <w:tab w:val="right" w:leader="dot" w:pos="8306"/>
            </w:tabs>
            <w:ind w:left="560" w:firstLine="560"/>
          </w:pPr>
          <w:hyperlink w:anchor="_Toc20048" w:history="1">
            <w:r>
              <w:rPr>
                <w:rFonts w:ascii="仿宋_GB2312" w:hAnsi="仿宋_GB2312" w:cs="仿宋_GB2312" w:hint="eastAsia"/>
                <w:szCs w:val="30"/>
              </w:rPr>
              <w:t>2.主要内容论据</w:t>
            </w:r>
            <w:r>
              <w:tab/>
            </w:r>
            <w:r>
              <w:fldChar w:fldCharType="begin"/>
            </w:r>
            <w:r>
              <w:instrText xml:space="preserve"> PAGEREF _Toc20048 \h </w:instrText>
            </w:r>
            <w:r>
              <w:fldChar w:fldCharType="separate"/>
            </w:r>
            <w:r>
              <w:t>6</w:t>
            </w:r>
            <w:r>
              <w:fldChar w:fldCharType="end"/>
            </w:r>
          </w:hyperlink>
        </w:p>
        <w:p w14:paraId="09ECBD99" w14:textId="77777777" w:rsidR="00304D62" w:rsidRDefault="00304D62">
          <w:pPr>
            <w:pStyle w:val="TOC1"/>
            <w:tabs>
              <w:tab w:val="right" w:leader="dot" w:pos="8306"/>
            </w:tabs>
            <w:ind w:firstLine="560"/>
          </w:pPr>
          <w:hyperlink w:anchor="_Toc20405" w:history="1">
            <w:r>
              <w:rPr>
                <w:rFonts w:ascii="黑体" w:eastAsia="黑体" w:hAnsi="黑体" w:cs="黑体" w:hint="eastAsia"/>
                <w:szCs w:val="32"/>
              </w:rPr>
              <w:t>三、 试验验证的分析、综述报告，技术经济论证，预期的经济效益、社会效益和生态效益</w:t>
            </w:r>
            <w:r>
              <w:tab/>
            </w:r>
            <w:r>
              <w:fldChar w:fldCharType="begin"/>
            </w:r>
            <w:r>
              <w:instrText xml:space="preserve"> PAGEREF _Toc20405 \h </w:instrText>
            </w:r>
            <w:r>
              <w:fldChar w:fldCharType="separate"/>
            </w:r>
            <w:r>
              <w:t>7</w:t>
            </w:r>
            <w:r>
              <w:fldChar w:fldCharType="end"/>
            </w:r>
          </w:hyperlink>
        </w:p>
        <w:p w14:paraId="5A32543F" w14:textId="77777777" w:rsidR="00304D62" w:rsidRDefault="00304D62">
          <w:pPr>
            <w:pStyle w:val="TOC2"/>
            <w:tabs>
              <w:tab w:val="right" w:leader="dot" w:pos="8306"/>
            </w:tabs>
            <w:ind w:left="560" w:firstLine="560"/>
          </w:pPr>
          <w:hyperlink w:anchor="_Toc22058" w:history="1">
            <w:r>
              <w:rPr>
                <w:rFonts w:ascii="仿宋_GB2312" w:hAnsi="仿宋_GB2312" w:cs="仿宋_GB2312" w:hint="eastAsia"/>
                <w:szCs w:val="30"/>
              </w:rPr>
              <w:t>1.试验验证的分析、综述报告</w:t>
            </w:r>
            <w:r>
              <w:tab/>
            </w:r>
            <w:r>
              <w:fldChar w:fldCharType="begin"/>
            </w:r>
            <w:r>
              <w:instrText xml:space="preserve"> PAGEREF _Toc22058 \h </w:instrText>
            </w:r>
            <w:r>
              <w:fldChar w:fldCharType="separate"/>
            </w:r>
            <w:r>
              <w:t>7</w:t>
            </w:r>
            <w:r>
              <w:fldChar w:fldCharType="end"/>
            </w:r>
          </w:hyperlink>
        </w:p>
        <w:p w14:paraId="57D6E188" w14:textId="77777777" w:rsidR="00304D62" w:rsidRDefault="00304D62">
          <w:pPr>
            <w:pStyle w:val="TOC2"/>
            <w:tabs>
              <w:tab w:val="right" w:leader="dot" w:pos="8306"/>
            </w:tabs>
            <w:ind w:left="560" w:firstLine="560"/>
          </w:pPr>
          <w:hyperlink w:anchor="_Toc29772" w:history="1">
            <w:r>
              <w:rPr>
                <w:rFonts w:ascii="仿宋_GB2312" w:hAnsi="仿宋_GB2312" w:cs="仿宋_GB2312" w:hint="eastAsia"/>
                <w:szCs w:val="30"/>
              </w:rPr>
              <w:t>2.经济效益</w:t>
            </w:r>
            <w:r>
              <w:tab/>
            </w:r>
            <w:r>
              <w:fldChar w:fldCharType="begin"/>
            </w:r>
            <w:r>
              <w:instrText xml:space="preserve"> PAGEREF _Toc29772 \h </w:instrText>
            </w:r>
            <w:r>
              <w:fldChar w:fldCharType="separate"/>
            </w:r>
            <w:r>
              <w:t>8</w:t>
            </w:r>
            <w:r>
              <w:fldChar w:fldCharType="end"/>
            </w:r>
          </w:hyperlink>
        </w:p>
        <w:p w14:paraId="699706C7" w14:textId="77777777" w:rsidR="00304D62" w:rsidRDefault="00304D62">
          <w:pPr>
            <w:pStyle w:val="TOC2"/>
            <w:tabs>
              <w:tab w:val="right" w:leader="dot" w:pos="8306"/>
            </w:tabs>
            <w:ind w:left="560" w:firstLine="560"/>
          </w:pPr>
          <w:hyperlink w:anchor="_Toc20758" w:history="1">
            <w:r>
              <w:rPr>
                <w:rFonts w:ascii="仿宋_GB2312" w:hAnsi="仿宋_GB2312" w:cs="仿宋_GB2312" w:hint="eastAsia"/>
                <w:szCs w:val="30"/>
              </w:rPr>
              <w:t>3.社会效益</w:t>
            </w:r>
            <w:r>
              <w:tab/>
            </w:r>
            <w:r>
              <w:fldChar w:fldCharType="begin"/>
            </w:r>
            <w:r>
              <w:instrText xml:space="preserve"> PAGEREF _Toc20758 \h </w:instrText>
            </w:r>
            <w:r>
              <w:fldChar w:fldCharType="separate"/>
            </w:r>
            <w:r>
              <w:t>8</w:t>
            </w:r>
            <w:r>
              <w:fldChar w:fldCharType="end"/>
            </w:r>
          </w:hyperlink>
        </w:p>
        <w:p w14:paraId="61EC0178" w14:textId="77777777" w:rsidR="00304D62" w:rsidRDefault="00304D62">
          <w:pPr>
            <w:pStyle w:val="TOC2"/>
            <w:tabs>
              <w:tab w:val="right" w:leader="dot" w:pos="8306"/>
            </w:tabs>
            <w:ind w:left="560" w:firstLine="560"/>
          </w:pPr>
          <w:hyperlink w:anchor="_Toc29201" w:history="1">
            <w:r>
              <w:rPr>
                <w:rFonts w:ascii="仿宋_GB2312" w:hAnsi="仿宋_GB2312" w:cs="仿宋_GB2312" w:hint="eastAsia"/>
                <w:szCs w:val="30"/>
              </w:rPr>
              <w:t>4.生态效益</w:t>
            </w:r>
            <w:r>
              <w:tab/>
            </w:r>
            <w:r>
              <w:fldChar w:fldCharType="begin"/>
            </w:r>
            <w:r>
              <w:instrText xml:space="preserve"> PAGEREF _Toc29201 \h </w:instrText>
            </w:r>
            <w:r>
              <w:fldChar w:fldCharType="separate"/>
            </w:r>
            <w:r>
              <w:t>8</w:t>
            </w:r>
            <w:r>
              <w:fldChar w:fldCharType="end"/>
            </w:r>
          </w:hyperlink>
        </w:p>
        <w:p w14:paraId="36013821" w14:textId="77777777" w:rsidR="00304D62" w:rsidRDefault="00304D62">
          <w:pPr>
            <w:pStyle w:val="TOC1"/>
            <w:tabs>
              <w:tab w:val="right" w:leader="dot" w:pos="8306"/>
            </w:tabs>
            <w:ind w:firstLine="560"/>
          </w:pPr>
          <w:hyperlink w:anchor="_Toc4680" w:history="1">
            <w:r>
              <w:rPr>
                <w:rFonts w:ascii="黑体" w:eastAsia="黑体" w:hAnsi="黑体" w:cs="黑体" w:hint="eastAsia"/>
                <w:szCs w:val="32"/>
              </w:rPr>
              <w:t>四、 与国际、国外同类标准技术内容的对比情况</w:t>
            </w:r>
            <w:r>
              <w:tab/>
            </w:r>
            <w:r>
              <w:fldChar w:fldCharType="begin"/>
            </w:r>
            <w:r>
              <w:instrText xml:space="preserve"> PAGEREF _Toc4680 \h </w:instrText>
            </w:r>
            <w:r>
              <w:fldChar w:fldCharType="separate"/>
            </w:r>
            <w:r>
              <w:t>8</w:t>
            </w:r>
            <w:r>
              <w:fldChar w:fldCharType="end"/>
            </w:r>
          </w:hyperlink>
        </w:p>
        <w:p w14:paraId="67D3142A" w14:textId="77777777" w:rsidR="00304D62" w:rsidRDefault="00304D62">
          <w:pPr>
            <w:pStyle w:val="TOC2"/>
            <w:tabs>
              <w:tab w:val="right" w:leader="dot" w:pos="8306"/>
            </w:tabs>
            <w:ind w:left="560" w:firstLine="560"/>
          </w:pPr>
          <w:hyperlink w:anchor="_Toc27808" w:history="1">
            <w:r>
              <w:rPr>
                <w:rFonts w:ascii="仿宋_GB2312" w:hAnsi="仿宋_GB2312" w:cs="仿宋_GB2312" w:hint="eastAsia"/>
                <w:szCs w:val="30"/>
              </w:rPr>
              <w:t>1.主要的国外指标</w:t>
            </w:r>
            <w:r>
              <w:tab/>
            </w:r>
            <w:r>
              <w:fldChar w:fldCharType="begin"/>
            </w:r>
            <w:r>
              <w:instrText xml:space="preserve"> PAGEREF _Toc27808 \h </w:instrText>
            </w:r>
            <w:r>
              <w:fldChar w:fldCharType="separate"/>
            </w:r>
            <w:r>
              <w:t>8</w:t>
            </w:r>
            <w:r>
              <w:fldChar w:fldCharType="end"/>
            </w:r>
          </w:hyperlink>
        </w:p>
        <w:p w14:paraId="27B988B8" w14:textId="77777777" w:rsidR="00304D62" w:rsidRDefault="00304D62">
          <w:pPr>
            <w:pStyle w:val="TOC2"/>
            <w:tabs>
              <w:tab w:val="right" w:leader="dot" w:pos="8306"/>
            </w:tabs>
            <w:ind w:left="560" w:firstLine="560"/>
          </w:pPr>
          <w:hyperlink w:anchor="_Toc8017" w:history="1">
            <w:r>
              <w:rPr>
                <w:rFonts w:ascii="仿宋_GB2312" w:hAnsi="仿宋_GB2312" w:cs="仿宋_GB2312" w:hint="eastAsia"/>
                <w:szCs w:val="30"/>
              </w:rPr>
              <w:t>2.内容的对比情况</w:t>
            </w:r>
            <w:r>
              <w:tab/>
            </w:r>
            <w:r>
              <w:fldChar w:fldCharType="begin"/>
            </w:r>
            <w:r>
              <w:instrText xml:space="preserve"> PAGEREF _Toc8017 \h </w:instrText>
            </w:r>
            <w:r>
              <w:fldChar w:fldCharType="separate"/>
            </w:r>
            <w:r>
              <w:t>9</w:t>
            </w:r>
            <w:r>
              <w:fldChar w:fldCharType="end"/>
            </w:r>
          </w:hyperlink>
        </w:p>
        <w:p w14:paraId="13BEBF2E" w14:textId="77777777" w:rsidR="00304D62" w:rsidRDefault="00304D62">
          <w:pPr>
            <w:pStyle w:val="TOC1"/>
            <w:tabs>
              <w:tab w:val="right" w:leader="dot" w:pos="8306"/>
            </w:tabs>
            <w:ind w:firstLine="560"/>
          </w:pPr>
          <w:hyperlink w:anchor="_Toc10756" w:history="1">
            <w:r>
              <w:rPr>
                <w:rFonts w:ascii="黑体" w:eastAsia="黑体" w:hAnsi="黑体" w:cs="黑体" w:hint="eastAsia"/>
                <w:szCs w:val="32"/>
              </w:rPr>
              <w:t>五、 以国际标准为基础的起草情况，以及是否合规引用或者采</w:t>
            </w:r>
            <w:r>
              <w:rPr>
                <w:rFonts w:ascii="黑体" w:eastAsia="黑体" w:hAnsi="黑体" w:cs="黑体" w:hint="eastAsia"/>
                <w:szCs w:val="32"/>
              </w:rPr>
              <w:lastRenderedPageBreak/>
              <w:t>用国际国外标准，并说明未采用国际标准的原因</w:t>
            </w:r>
            <w:r>
              <w:tab/>
            </w:r>
            <w:r>
              <w:fldChar w:fldCharType="begin"/>
            </w:r>
            <w:r>
              <w:instrText xml:space="preserve"> PAGEREF _Toc10756 \h </w:instrText>
            </w:r>
            <w:r>
              <w:fldChar w:fldCharType="separate"/>
            </w:r>
            <w:r>
              <w:t>10</w:t>
            </w:r>
            <w:r>
              <w:fldChar w:fldCharType="end"/>
            </w:r>
          </w:hyperlink>
        </w:p>
        <w:p w14:paraId="17B9145E" w14:textId="77777777" w:rsidR="00304D62" w:rsidRDefault="00304D62">
          <w:pPr>
            <w:pStyle w:val="TOC1"/>
            <w:tabs>
              <w:tab w:val="right" w:leader="dot" w:pos="8306"/>
            </w:tabs>
            <w:ind w:firstLine="560"/>
          </w:pPr>
          <w:hyperlink w:anchor="_Toc10702" w:history="1">
            <w:r>
              <w:rPr>
                <w:rFonts w:ascii="黑体" w:eastAsia="黑体" w:hAnsi="黑体" w:cs="黑体" w:hint="eastAsia"/>
                <w:szCs w:val="32"/>
              </w:rPr>
              <w:t>六、 与有关法律、行政法规及相关标准的关系</w:t>
            </w:r>
            <w:r>
              <w:tab/>
            </w:r>
            <w:r>
              <w:fldChar w:fldCharType="begin"/>
            </w:r>
            <w:r>
              <w:instrText xml:space="preserve"> PAGEREF _Toc10702 \h </w:instrText>
            </w:r>
            <w:r>
              <w:fldChar w:fldCharType="separate"/>
            </w:r>
            <w:r>
              <w:t>10</w:t>
            </w:r>
            <w:r>
              <w:fldChar w:fldCharType="end"/>
            </w:r>
          </w:hyperlink>
        </w:p>
        <w:p w14:paraId="324F06A8" w14:textId="77777777" w:rsidR="00304D62" w:rsidRDefault="00304D62">
          <w:pPr>
            <w:pStyle w:val="TOC1"/>
            <w:tabs>
              <w:tab w:val="right" w:leader="dot" w:pos="8306"/>
            </w:tabs>
            <w:ind w:firstLine="560"/>
          </w:pPr>
          <w:hyperlink w:anchor="_Toc29238" w:history="1">
            <w:r>
              <w:rPr>
                <w:rFonts w:ascii="黑体" w:eastAsia="黑体" w:hAnsi="黑体" w:cs="黑体" w:hint="eastAsia"/>
                <w:szCs w:val="32"/>
              </w:rPr>
              <w:t>七、 重大分歧意见的处理经过和依据</w:t>
            </w:r>
            <w:r>
              <w:tab/>
            </w:r>
            <w:r>
              <w:fldChar w:fldCharType="begin"/>
            </w:r>
            <w:r>
              <w:instrText xml:space="preserve"> PAGEREF _Toc29238 \h </w:instrText>
            </w:r>
            <w:r>
              <w:fldChar w:fldCharType="separate"/>
            </w:r>
            <w:r>
              <w:t>11</w:t>
            </w:r>
            <w:r>
              <w:fldChar w:fldCharType="end"/>
            </w:r>
          </w:hyperlink>
        </w:p>
        <w:p w14:paraId="1CBF30D4" w14:textId="77777777" w:rsidR="00304D62" w:rsidRDefault="00304D62">
          <w:pPr>
            <w:pStyle w:val="TOC1"/>
            <w:tabs>
              <w:tab w:val="right" w:leader="dot" w:pos="8306"/>
            </w:tabs>
            <w:ind w:firstLine="560"/>
          </w:pPr>
          <w:hyperlink w:anchor="_Toc2904" w:history="1">
            <w:r>
              <w:rPr>
                <w:rFonts w:ascii="黑体" w:eastAsia="黑体" w:hAnsi="黑体" w:cs="黑体" w:hint="eastAsia"/>
                <w:szCs w:val="32"/>
              </w:rPr>
              <w:t>八、 涉及专利的有关说明</w:t>
            </w:r>
            <w:r>
              <w:tab/>
            </w:r>
            <w:r>
              <w:fldChar w:fldCharType="begin"/>
            </w:r>
            <w:r>
              <w:instrText xml:space="preserve"> PAGEREF _Toc2904 \h </w:instrText>
            </w:r>
            <w:r>
              <w:fldChar w:fldCharType="separate"/>
            </w:r>
            <w:r>
              <w:t>11</w:t>
            </w:r>
            <w:r>
              <w:fldChar w:fldCharType="end"/>
            </w:r>
          </w:hyperlink>
        </w:p>
        <w:p w14:paraId="6DC0E7AA" w14:textId="77777777" w:rsidR="00304D62" w:rsidRDefault="00304D62">
          <w:pPr>
            <w:pStyle w:val="TOC1"/>
            <w:tabs>
              <w:tab w:val="right" w:leader="dot" w:pos="8306"/>
            </w:tabs>
            <w:ind w:firstLine="560"/>
          </w:pPr>
          <w:hyperlink w:anchor="_Toc19406" w:history="1">
            <w:r>
              <w:rPr>
                <w:rFonts w:ascii="黑体" w:eastAsia="黑体" w:hAnsi="黑体" w:cs="黑体" w:hint="eastAsia"/>
                <w:szCs w:val="32"/>
              </w:rPr>
              <w:t>九、 实施标准的要求，以及组织措施、技术措施、过渡期和实施日期的建议等措施建议</w:t>
            </w:r>
            <w:r>
              <w:tab/>
            </w:r>
            <w:r>
              <w:fldChar w:fldCharType="begin"/>
            </w:r>
            <w:r>
              <w:instrText xml:space="preserve"> PAGEREF _Toc19406 \h </w:instrText>
            </w:r>
            <w:r>
              <w:fldChar w:fldCharType="separate"/>
            </w:r>
            <w:r>
              <w:t>11</w:t>
            </w:r>
            <w:r>
              <w:fldChar w:fldCharType="end"/>
            </w:r>
          </w:hyperlink>
        </w:p>
        <w:p w14:paraId="1C845CDF" w14:textId="77777777" w:rsidR="00304D62" w:rsidRDefault="00304D62">
          <w:pPr>
            <w:pStyle w:val="TOC1"/>
            <w:tabs>
              <w:tab w:val="right" w:leader="dot" w:pos="8306"/>
            </w:tabs>
            <w:ind w:firstLine="560"/>
          </w:pPr>
          <w:hyperlink w:anchor="_Toc32266" w:history="1">
            <w:r>
              <w:rPr>
                <w:rFonts w:ascii="黑体" w:eastAsia="黑体" w:hAnsi="黑体" w:cs="黑体" w:hint="eastAsia"/>
                <w:szCs w:val="32"/>
              </w:rPr>
              <w:t>十、 其他应予说明的事项</w:t>
            </w:r>
            <w:r>
              <w:tab/>
            </w:r>
            <w:r>
              <w:fldChar w:fldCharType="begin"/>
            </w:r>
            <w:r>
              <w:instrText xml:space="preserve"> PAGEREF _Toc32266 \h </w:instrText>
            </w:r>
            <w:r>
              <w:fldChar w:fldCharType="separate"/>
            </w:r>
            <w:r>
              <w:t>12</w:t>
            </w:r>
            <w:r>
              <w:fldChar w:fldCharType="end"/>
            </w:r>
          </w:hyperlink>
        </w:p>
        <w:p w14:paraId="1CEB9115" w14:textId="77777777" w:rsidR="00304D62" w:rsidRDefault="00000000">
          <w:pPr>
            <w:ind w:firstLine="560"/>
          </w:pPr>
          <w:r>
            <w:fldChar w:fldCharType="end"/>
          </w:r>
        </w:p>
      </w:sdtContent>
    </w:sdt>
    <w:p w14:paraId="1429A3B4" w14:textId="77777777" w:rsidR="00304D62" w:rsidRDefault="00000000">
      <w:pPr>
        <w:ind w:firstLine="560"/>
        <w:rPr>
          <w:b/>
          <w:szCs w:val="28"/>
        </w:rPr>
      </w:pPr>
      <w:r>
        <w:rPr>
          <w:b/>
          <w:szCs w:val="28"/>
        </w:rPr>
        <w:br w:type="page"/>
      </w:r>
    </w:p>
    <w:p w14:paraId="1C79F866" w14:textId="4677CF6F" w:rsidR="00304D62" w:rsidRDefault="006E28E1">
      <w:pPr>
        <w:adjustRightInd w:val="0"/>
        <w:snapToGrid w:val="0"/>
        <w:ind w:firstLine="720"/>
        <w:jc w:val="center"/>
        <w:outlineLvl w:val="3"/>
        <w:rPr>
          <w:rFonts w:ascii="黑体" w:eastAsia="黑体" w:hAnsi="黑体" w:hint="eastAsia"/>
          <w:sz w:val="36"/>
          <w:szCs w:val="36"/>
        </w:rPr>
      </w:pPr>
      <w:r>
        <w:rPr>
          <w:rFonts w:ascii="黑体" w:eastAsia="黑体" w:hAnsi="黑体" w:hint="eastAsia"/>
          <w:sz w:val="36"/>
          <w:szCs w:val="36"/>
        </w:rPr>
        <w:lastRenderedPageBreak/>
        <w:t>气溶胶放射性核素连续测量 高纯锗γ能谱法</w:t>
      </w:r>
    </w:p>
    <w:p w14:paraId="0E3B29E3" w14:textId="77777777" w:rsidR="00304D62" w:rsidRDefault="00000000">
      <w:pPr>
        <w:adjustRightInd w:val="0"/>
        <w:snapToGrid w:val="0"/>
        <w:ind w:firstLine="720"/>
        <w:jc w:val="center"/>
        <w:outlineLvl w:val="3"/>
        <w:rPr>
          <w:rFonts w:ascii="黑体" w:eastAsia="黑体" w:hAnsi="黑体" w:hint="eastAsia"/>
          <w:sz w:val="36"/>
          <w:szCs w:val="36"/>
        </w:rPr>
      </w:pPr>
      <w:r>
        <w:rPr>
          <w:rFonts w:ascii="黑体" w:eastAsia="黑体" w:hAnsi="黑体" w:hint="eastAsia"/>
          <w:sz w:val="36"/>
          <w:szCs w:val="36"/>
        </w:rPr>
        <w:t>编制说明</w:t>
      </w:r>
    </w:p>
    <w:p w14:paraId="0EC2B239" w14:textId="77777777" w:rsidR="00304D62" w:rsidRDefault="00000000">
      <w:pPr>
        <w:adjustRightInd w:val="0"/>
        <w:snapToGrid w:val="0"/>
        <w:ind w:firstLine="643"/>
        <w:outlineLvl w:val="0"/>
        <w:rPr>
          <w:rFonts w:ascii="黑体" w:eastAsia="黑体" w:hAnsi="黑体" w:cs="黑体" w:hint="eastAsia"/>
          <w:b/>
          <w:sz w:val="32"/>
          <w:szCs w:val="32"/>
        </w:rPr>
      </w:pPr>
      <w:bookmarkStart w:id="1" w:name="_Toc3457"/>
      <w:r>
        <w:rPr>
          <w:rFonts w:ascii="黑体" w:eastAsia="黑体" w:hAnsi="黑体" w:cs="黑体" w:hint="eastAsia"/>
          <w:b/>
          <w:sz w:val="32"/>
          <w:szCs w:val="32"/>
        </w:rPr>
        <w:t>一、工作简况</w:t>
      </w:r>
      <w:bookmarkEnd w:id="1"/>
    </w:p>
    <w:p w14:paraId="5E3BF67E" w14:textId="77777777" w:rsidR="00304D62" w:rsidRDefault="00000000">
      <w:pPr>
        <w:adjustRightInd w:val="0"/>
        <w:snapToGrid w:val="0"/>
        <w:ind w:firstLine="600"/>
        <w:outlineLvl w:val="1"/>
        <w:rPr>
          <w:rFonts w:ascii="仿宋_GB2312" w:hAnsi="宋体" w:hint="eastAsia"/>
          <w:b/>
          <w:bCs/>
          <w:sz w:val="30"/>
          <w:szCs w:val="30"/>
        </w:rPr>
      </w:pPr>
      <w:bookmarkStart w:id="2" w:name="_Toc17493"/>
      <w:r>
        <w:rPr>
          <w:rFonts w:ascii="仿宋_GB2312" w:hAnsi="宋体" w:hint="eastAsia"/>
          <w:b/>
          <w:bCs/>
          <w:sz w:val="30"/>
          <w:szCs w:val="30"/>
        </w:rPr>
        <w:t>1.任务来源</w:t>
      </w:r>
      <w:bookmarkEnd w:id="2"/>
    </w:p>
    <w:p w14:paraId="3D6C2C0C" w14:textId="77777777" w:rsidR="00304D62" w:rsidRDefault="00000000">
      <w:pPr>
        <w:ind w:firstLine="560"/>
      </w:pPr>
      <w:r>
        <w:rPr>
          <w:rFonts w:hint="eastAsia"/>
        </w:rPr>
        <w:t>该标准的制定是为了规范大气气溶胶放射性核素连续监测系统的监测方法，以贯彻《中华人民共和国环境保护法》和《中华人民共和国放射性污染防治法》，保护环境和人体健康。</w:t>
      </w:r>
    </w:p>
    <w:p w14:paraId="79E28DE4" w14:textId="77777777" w:rsidR="00304D62" w:rsidRDefault="00000000">
      <w:pPr>
        <w:adjustRightInd w:val="0"/>
        <w:snapToGrid w:val="0"/>
        <w:ind w:firstLine="600"/>
        <w:outlineLvl w:val="1"/>
        <w:rPr>
          <w:rFonts w:ascii="仿宋_GB2312" w:hAnsi="宋体" w:hint="eastAsia"/>
          <w:b/>
          <w:bCs/>
          <w:sz w:val="30"/>
          <w:szCs w:val="30"/>
        </w:rPr>
      </w:pPr>
      <w:bookmarkStart w:id="3" w:name="_Toc10032"/>
      <w:r>
        <w:rPr>
          <w:rFonts w:ascii="仿宋_GB2312" w:hAnsi="宋体" w:hint="eastAsia"/>
          <w:b/>
          <w:bCs/>
          <w:sz w:val="30"/>
          <w:szCs w:val="30"/>
        </w:rPr>
        <w:t>2.协作单位</w:t>
      </w:r>
      <w:bookmarkEnd w:id="3"/>
    </w:p>
    <w:p w14:paraId="036A5340" w14:textId="77777777" w:rsidR="00304D62" w:rsidRDefault="00000000">
      <w:pPr>
        <w:ind w:firstLine="560"/>
      </w:pPr>
      <w:r>
        <w:rPr>
          <w:rFonts w:hint="eastAsia"/>
        </w:rPr>
        <w:t>本文件由中华环保联合会归口，甘肃省疾病预防控制中心、中国医学科学院放射医学研究所、北京市职业病防治研究院等机构单位参与该项团体标准的起草工作。</w:t>
      </w:r>
    </w:p>
    <w:p w14:paraId="210875A0" w14:textId="77777777" w:rsidR="00304D62" w:rsidRDefault="00000000">
      <w:pPr>
        <w:ind w:firstLine="560"/>
        <w:rPr>
          <w:rFonts w:eastAsia="仿宋"/>
          <w:color w:val="000000"/>
          <w:kern w:val="0"/>
          <w:szCs w:val="28"/>
        </w:rPr>
      </w:pPr>
      <w:r>
        <w:rPr>
          <w:rFonts w:eastAsia="仿宋" w:hint="eastAsia"/>
          <w:color w:val="000000"/>
          <w:kern w:val="0"/>
          <w:szCs w:val="28"/>
        </w:rPr>
        <w:t>1</w:t>
      </w:r>
      <w:r>
        <w:rPr>
          <w:rFonts w:eastAsia="仿宋" w:hint="eastAsia"/>
          <w:color w:val="000000"/>
          <w:kern w:val="0"/>
          <w:szCs w:val="28"/>
        </w:rPr>
        <w:t>、</w:t>
      </w:r>
      <w:r>
        <w:rPr>
          <w:rFonts w:hint="eastAsia"/>
        </w:rPr>
        <w:t>甘肃省疾病预防控制中心</w:t>
      </w:r>
      <w:r>
        <w:rPr>
          <w:rFonts w:eastAsia="仿宋" w:hint="eastAsia"/>
          <w:color w:val="000000"/>
          <w:kern w:val="0"/>
          <w:szCs w:val="28"/>
        </w:rPr>
        <w:t>。</w:t>
      </w:r>
    </w:p>
    <w:p w14:paraId="5C953784" w14:textId="77777777" w:rsidR="00304D62" w:rsidRDefault="00000000">
      <w:pPr>
        <w:ind w:firstLine="560"/>
      </w:pPr>
      <w:r>
        <w:rPr>
          <w:rFonts w:hint="eastAsia"/>
        </w:rPr>
        <w:t>a)</w:t>
      </w:r>
      <w:r>
        <w:rPr>
          <w:rFonts w:hint="eastAsia"/>
        </w:rPr>
        <w:tab/>
      </w:r>
      <w:r>
        <w:rPr>
          <w:rFonts w:hint="eastAsia"/>
        </w:rPr>
        <w:t>讨论稿、征求意见稿的专家沟通与汇总；</w:t>
      </w:r>
    </w:p>
    <w:p w14:paraId="637FAC3A" w14:textId="77777777" w:rsidR="00304D62" w:rsidRDefault="00000000">
      <w:pPr>
        <w:ind w:firstLine="560"/>
      </w:pPr>
      <w:r>
        <w:rPr>
          <w:rFonts w:hint="eastAsia"/>
        </w:rPr>
        <w:t>b)</w:t>
      </w:r>
      <w:r>
        <w:rPr>
          <w:rFonts w:hint="eastAsia"/>
        </w:rPr>
        <w:tab/>
      </w:r>
      <w:r>
        <w:rPr>
          <w:rFonts w:hint="eastAsia"/>
        </w:rPr>
        <w:t>执笔编制初稿、征求意见稿；</w:t>
      </w:r>
    </w:p>
    <w:p w14:paraId="33FF0EC7" w14:textId="77777777" w:rsidR="00304D62" w:rsidRDefault="00000000">
      <w:pPr>
        <w:ind w:firstLine="560"/>
      </w:pPr>
      <w:r>
        <w:rPr>
          <w:rFonts w:hint="eastAsia"/>
        </w:rPr>
        <w:t>c)</w:t>
      </w:r>
      <w:r>
        <w:rPr>
          <w:rFonts w:hint="eastAsia"/>
        </w:rPr>
        <w:tab/>
      </w:r>
      <w:r>
        <w:rPr>
          <w:rFonts w:hint="eastAsia"/>
        </w:rPr>
        <w:t>汇总并修改征求意见稿。</w:t>
      </w:r>
    </w:p>
    <w:p w14:paraId="5AE6BCBC" w14:textId="77777777" w:rsidR="00304D62" w:rsidRDefault="00000000">
      <w:pPr>
        <w:ind w:firstLine="560"/>
      </w:pPr>
      <w:r>
        <w:rPr>
          <w:rFonts w:hint="eastAsia"/>
        </w:rPr>
        <w:t>2</w:t>
      </w:r>
      <w:r>
        <w:rPr>
          <w:rFonts w:hint="eastAsia"/>
        </w:rPr>
        <w:t>、中国医学科学院放射医学研究所、北京市职业病防治研究院。</w:t>
      </w:r>
    </w:p>
    <w:p w14:paraId="60E36D55" w14:textId="77777777" w:rsidR="00304D62" w:rsidRDefault="00000000">
      <w:pPr>
        <w:ind w:firstLine="560"/>
      </w:pPr>
      <w:r>
        <w:rPr>
          <w:rFonts w:hint="eastAsia"/>
        </w:rPr>
        <w:t>a)</w:t>
      </w:r>
      <w:r>
        <w:rPr>
          <w:rFonts w:hint="eastAsia"/>
        </w:rPr>
        <w:tab/>
      </w:r>
      <w:r>
        <w:rPr>
          <w:rFonts w:hint="eastAsia"/>
        </w:rPr>
        <w:t>文本结构进行专业性指导；</w:t>
      </w:r>
    </w:p>
    <w:p w14:paraId="0FE64B72" w14:textId="77777777" w:rsidR="00304D62" w:rsidRDefault="00000000">
      <w:pPr>
        <w:ind w:firstLine="560"/>
      </w:pPr>
      <w:r>
        <w:rPr>
          <w:rFonts w:hint="eastAsia"/>
        </w:rPr>
        <w:t>b)</w:t>
      </w:r>
      <w:r>
        <w:rPr>
          <w:rFonts w:hint="eastAsia"/>
        </w:rPr>
        <w:tab/>
      </w:r>
      <w:r>
        <w:rPr>
          <w:rFonts w:hint="eastAsia"/>
        </w:rPr>
        <w:t>验证报告的结构进行指导；</w:t>
      </w:r>
    </w:p>
    <w:p w14:paraId="10E907AB" w14:textId="77777777" w:rsidR="00304D62" w:rsidRDefault="00000000">
      <w:pPr>
        <w:ind w:firstLine="560"/>
      </w:pPr>
      <w:r>
        <w:rPr>
          <w:rFonts w:hint="eastAsia"/>
        </w:rPr>
        <w:t>c)</w:t>
      </w:r>
      <w:r>
        <w:rPr>
          <w:rFonts w:hint="eastAsia"/>
        </w:rPr>
        <w:tab/>
      </w:r>
      <w:r>
        <w:rPr>
          <w:rFonts w:hint="eastAsia"/>
        </w:rPr>
        <w:t>文本内容的修改。</w:t>
      </w:r>
    </w:p>
    <w:p w14:paraId="56D7E7E3" w14:textId="77777777" w:rsidR="00304D62" w:rsidRDefault="00000000">
      <w:pPr>
        <w:ind w:leftChars="200" w:left="560" w:firstLineChars="0" w:firstLine="0"/>
        <w:outlineLvl w:val="1"/>
        <w:rPr>
          <w:rFonts w:ascii="仿宋_GB2312" w:hAnsi="宋体" w:hint="eastAsia"/>
          <w:b/>
          <w:bCs/>
          <w:sz w:val="30"/>
          <w:szCs w:val="30"/>
        </w:rPr>
      </w:pPr>
      <w:bookmarkStart w:id="4" w:name="_Toc9223"/>
      <w:r>
        <w:rPr>
          <w:rFonts w:hint="eastAsia"/>
        </w:rPr>
        <w:t>3.</w:t>
      </w:r>
      <w:r>
        <w:rPr>
          <w:rFonts w:ascii="仿宋_GB2312" w:hAnsi="宋体" w:hint="eastAsia"/>
          <w:b/>
          <w:bCs/>
          <w:sz w:val="30"/>
          <w:szCs w:val="30"/>
        </w:rPr>
        <w:t>制定背景</w:t>
      </w:r>
      <w:bookmarkEnd w:id="4"/>
    </w:p>
    <w:p w14:paraId="33E7D538" w14:textId="77777777" w:rsidR="00304D62" w:rsidRDefault="00000000">
      <w:pPr>
        <w:ind w:firstLine="560"/>
      </w:pPr>
      <w:r>
        <w:rPr>
          <w:rFonts w:hint="eastAsia"/>
        </w:rPr>
        <w:t>大气污染防治一直是我国生态环境保护的重要组成部分。近年来，</w:t>
      </w:r>
      <w:r>
        <w:rPr>
          <w:rFonts w:hint="eastAsia"/>
        </w:rPr>
        <w:lastRenderedPageBreak/>
        <w:t>在打赢蓝天保卫战的统筹部署下，通过开展大气污染防治行动，我国空气环境质量得到了有效改善，空气中</w:t>
      </w:r>
      <w:r>
        <w:rPr>
          <w:rFonts w:hint="eastAsia"/>
        </w:rPr>
        <w:t>PM2.5</w:t>
      </w:r>
      <w:r>
        <w:rPr>
          <w:rFonts w:hint="eastAsia"/>
        </w:rPr>
        <w:t>、</w:t>
      </w:r>
      <w:r>
        <w:rPr>
          <w:rFonts w:hint="eastAsia"/>
        </w:rPr>
        <w:t>PM10</w:t>
      </w:r>
      <w:r>
        <w:rPr>
          <w:rFonts w:hint="eastAsia"/>
        </w:rPr>
        <w:t>及</w:t>
      </w:r>
      <w:r>
        <w:rPr>
          <w:rFonts w:hint="eastAsia"/>
        </w:rPr>
        <w:t>SO2</w:t>
      </w:r>
      <w:r>
        <w:rPr>
          <w:rFonts w:hint="eastAsia"/>
        </w:rPr>
        <w:t>等污染物浓度明显下降，增强了人民的蓝天幸福感。但随着核能和核技术的快速发展，大气气溶胶放射性核素监测在辐射环境监测、核事故应急响应等方面发挥着越来越重要的作用。我国完整的核工业体系有着极重要的战略地位，包括铀矿开采、冶炼、铀浓缩、乏燃料后处理、反应堆元件制造、核废物处置等一系列生产和应用单位。大气环境中的放射性核素，不但对浸没在其中的人体造成外照射，还能够通过呼吸道和消化道等途径进入人体，对人体造成更严重的内照射。大气对于其中携带的放射性核素具有扩散和远距离输送作用，是一种具有显著放射学意义的环境介质。大气环境系统中存在着多种放射性核素，而我国大气中放射性核素的种类、分布、浓度、变化等又有着自身特点。</w:t>
      </w:r>
    </w:p>
    <w:p w14:paraId="5FEB9271" w14:textId="77777777" w:rsidR="00304D62" w:rsidRDefault="00000000">
      <w:pPr>
        <w:ind w:firstLine="560"/>
      </w:pPr>
      <w:r>
        <w:rPr>
          <w:rFonts w:hint="eastAsia"/>
        </w:rPr>
        <w:t>我国地处大气运动的重要通道，在北半球发生的核事故、核试验释放到环境中的放射性核素随着大气运动都会对其产生影响，例如，</w:t>
      </w:r>
      <w:r>
        <w:rPr>
          <w:rFonts w:hint="eastAsia"/>
        </w:rPr>
        <w:t>2011</w:t>
      </w:r>
      <w:r>
        <w:rPr>
          <w:rFonts w:hint="eastAsia"/>
        </w:rPr>
        <w:t>年“</w:t>
      </w:r>
      <w:r>
        <w:rPr>
          <w:rFonts w:hint="eastAsia"/>
        </w:rPr>
        <w:t>3.11</w:t>
      </w:r>
      <w:r>
        <w:rPr>
          <w:rFonts w:hint="eastAsia"/>
        </w:rPr>
        <w:t>”日本福岛核电站事故泄漏的放射性核素，</w:t>
      </w:r>
      <w:r>
        <w:rPr>
          <w:rFonts w:hint="eastAsia"/>
        </w:rPr>
        <w:t>2</w:t>
      </w:r>
      <w:r>
        <w:rPr>
          <w:rFonts w:hint="eastAsia"/>
        </w:rPr>
        <w:t>周后就在兰州地区的空气中检测到。福岛核事故后，国际社会对核事故早期预警的时效性和空间分辨率提出更高标准。原国家环保局在全国建立了国家环境辐射监测网络，监测网络中有环境辐射自动监测站进行大气气溶胶放射性监测、气溶胶总α、总β放射性监测等。然而，目前我国尚未出台针对大气气溶胶放射性核素连续监测系统的技术指南，导致相关监测工作缺乏统一的技术规范，影响了监测数据的准确性和可比性。且我国现有监测网络对气溶胶中短寿命核素</w:t>
      </w:r>
      <w:r>
        <w:t>的在线识别能力不足，</w:t>
      </w:r>
      <w:r>
        <w:lastRenderedPageBreak/>
        <w:t>导致事故源项反演和剂量评估存在滞后性。需通过标准化技术指南推动高分辨率</w:t>
      </w:r>
      <w:r>
        <w:t>γ</w:t>
      </w:r>
      <w:r>
        <w:t>能谱分析、人工智能核素识别算法等技术的工程化应用。因此，制定本标准对于规范大气气溶胶放射性核素连续监测系统的设计、建设、运行和维护，提高监测数据质量，保障辐射环境安全</w:t>
      </w:r>
      <w:r>
        <w:rPr>
          <w:rFonts w:hint="eastAsia"/>
        </w:rPr>
        <w:t>及公众放射性危害评估</w:t>
      </w:r>
      <w:r>
        <w:t>具有重要意义。</w:t>
      </w:r>
    </w:p>
    <w:p w14:paraId="6B5DF5BB" w14:textId="77777777" w:rsidR="00304D62" w:rsidRDefault="00000000">
      <w:pPr>
        <w:adjustRightInd w:val="0"/>
        <w:snapToGrid w:val="0"/>
        <w:ind w:firstLine="600"/>
        <w:outlineLvl w:val="1"/>
        <w:rPr>
          <w:rFonts w:ascii="仿宋_GB2312" w:hAnsi="宋体" w:hint="eastAsia"/>
          <w:b/>
          <w:bCs/>
          <w:sz w:val="30"/>
          <w:szCs w:val="30"/>
        </w:rPr>
      </w:pPr>
      <w:bookmarkStart w:id="5" w:name="_Toc19196"/>
      <w:r>
        <w:rPr>
          <w:rFonts w:ascii="仿宋_GB2312" w:hAnsi="宋体" w:hint="eastAsia"/>
          <w:b/>
          <w:bCs/>
          <w:sz w:val="30"/>
          <w:szCs w:val="30"/>
        </w:rPr>
        <w:t>4.起草过程</w:t>
      </w:r>
      <w:bookmarkEnd w:id="5"/>
    </w:p>
    <w:p w14:paraId="0EA8EA5E" w14:textId="77D6BCB3" w:rsidR="00304D62" w:rsidRDefault="00000000">
      <w:pPr>
        <w:ind w:firstLine="560"/>
        <w:rPr>
          <w:rFonts w:ascii="仿宋_GB2312" w:hAnsi="宋体" w:hint="eastAsia"/>
          <w:sz w:val="24"/>
        </w:rPr>
      </w:pPr>
      <w:r>
        <w:rPr>
          <w:rFonts w:hint="eastAsia"/>
        </w:rPr>
        <w:t>2024</w:t>
      </w:r>
      <w:r>
        <w:rPr>
          <w:rFonts w:hint="eastAsia"/>
        </w:rPr>
        <w:t>年</w:t>
      </w:r>
      <w:r>
        <w:rPr>
          <w:rFonts w:hint="eastAsia"/>
        </w:rPr>
        <w:t>11</w:t>
      </w:r>
      <w:r>
        <w:rPr>
          <w:rFonts w:hint="eastAsia"/>
        </w:rPr>
        <w:t>月向中华环保联合会提交团体标准制修订立项申请书，通过委员会专家评审后于</w:t>
      </w:r>
      <w:r>
        <w:rPr>
          <w:rFonts w:hint="eastAsia"/>
        </w:rPr>
        <w:t>2024</w:t>
      </w:r>
      <w:r>
        <w:rPr>
          <w:rFonts w:hint="eastAsia"/>
        </w:rPr>
        <w:t>年</w:t>
      </w:r>
      <w:r>
        <w:rPr>
          <w:rFonts w:hint="eastAsia"/>
        </w:rPr>
        <w:t>12</w:t>
      </w:r>
      <w:r>
        <w:rPr>
          <w:rFonts w:hint="eastAsia"/>
        </w:rPr>
        <w:t>月批准立项。本标准起草组于</w:t>
      </w:r>
      <w:r>
        <w:rPr>
          <w:rFonts w:hint="eastAsia"/>
        </w:rPr>
        <w:t>2024</w:t>
      </w:r>
      <w:r>
        <w:rPr>
          <w:rFonts w:hint="eastAsia"/>
        </w:rPr>
        <w:t>年项目获批后，立即召开启动会议，开始标准编写工作。起草组首先调研</w:t>
      </w:r>
      <w:r>
        <w:t>国际原子能机构（</w:t>
      </w:r>
      <w:r>
        <w:t>IAEA</w:t>
      </w:r>
      <w:r>
        <w:t>）</w:t>
      </w:r>
      <w:r>
        <w:rPr>
          <w:rFonts w:hint="eastAsia"/>
        </w:rPr>
        <w:t>关于食品和环境样品中放射性核素测量的第</w:t>
      </w:r>
      <w:r>
        <w:rPr>
          <w:rFonts w:hint="eastAsia"/>
        </w:rPr>
        <w:t>295</w:t>
      </w:r>
      <w:r>
        <w:rPr>
          <w:rFonts w:hint="eastAsia"/>
        </w:rPr>
        <w:t>号技术报告、美国</w:t>
      </w:r>
      <w:r>
        <w:rPr>
          <w:rFonts w:hint="eastAsia"/>
        </w:rPr>
        <w:t>FDA</w:t>
      </w:r>
      <w:r>
        <w:rPr>
          <w:rFonts w:hint="eastAsia"/>
        </w:rPr>
        <w:t>操作规范等国际标准，联合国禁核实验条约组织（</w:t>
      </w:r>
      <w:r>
        <w:rPr>
          <w:rFonts w:hint="eastAsia"/>
        </w:rPr>
        <w:t>CTBTO</w:t>
      </w:r>
      <w:r>
        <w:rPr>
          <w:rFonts w:hint="eastAsia"/>
        </w:rPr>
        <w:t>）操作手册，结合国内外相关文献研究，和兰州核素台站实验数据，起草组确定了《</w:t>
      </w:r>
      <w:r w:rsidR="006E28E1">
        <w:rPr>
          <w:rFonts w:hint="eastAsia"/>
        </w:rPr>
        <w:t>气溶胶放射性核素连续测量</w:t>
      </w:r>
      <w:r w:rsidR="006E28E1">
        <w:rPr>
          <w:rFonts w:hint="eastAsia"/>
        </w:rPr>
        <w:t xml:space="preserve"> </w:t>
      </w:r>
      <w:r w:rsidR="006E28E1">
        <w:rPr>
          <w:rFonts w:hint="eastAsia"/>
        </w:rPr>
        <w:t>高纯锗γ能谱法</w:t>
      </w:r>
      <w:r>
        <w:rPr>
          <w:rFonts w:hint="eastAsia"/>
        </w:rPr>
        <w:t>》编写框架。</w:t>
      </w:r>
      <w:r>
        <w:rPr>
          <w:rFonts w:hint="eastAsia"/>
        </w:rPr>
        <w:t>2025</w:t>
      </w:r>
      <w:r>
        <w:rPr>
          <w:rFonts w:hint="eastAsia"/>
        </w:rPr>
        <w:t>年</w:t>
      </w:r>
      <w:r>
        <w:rPr>
          <w:rFonts w:hint="eastAsia"/>
        </w:rPr>
        <w:t>2</w:t>
      </w:r>
      <w:r>
        <w:rPr>
          <w:rFonts w:hint="eastAsia"/>
        </w:rPr>
        <w:t>月由王赟、张涵宇等起草人完成标准草案稿的撰写。</w:t>
      </w:r>
      <w:r w:rsidR="006E28E1">
        <w:rPr>
          <w:rFonts w:hint="eastAsia"/>
        </w:rPr>
        <w:t>2025</w:t>
      </w:r>
      <w:r w:rsidR="006E28E1">
        <w:rPr>
          <w:rFonts w:hint="eastAsia"/>
        </w:rPr>
        <w:t>年</w:t>
      </w:r>
      <w:r w:rsidR="006E28E1">
        <w:rPr>
          <w:rFonts w:hint="eastAsia"/>
        </w:rPr>
        <w:t>4</w:t>
      </w:r>
      <w:r w:rsidR="006E28E1">
        <w:rPr>
          <w:rFonts w:hint="eastAsia"/>
        </w:rPr>
        <w:t>月通过专家技术审查会后，结合专家完成了对标准的修改，形成审核稿。</w:t>
      </w:r>
    </w:p>
    <w:p w14:paraId="0133CD20" w14:textId="77777777" w:rsidR="00304D62" w:rsidRDefault="00000000">
      <w:pPr>
        <w:adjustRightInd w:val="0"/>
        <w:snapToGrid w:val="0"/>
        <w:ind w:firstLine="600"/>
        <w:outlineLvl w:val="1"/>
        <w:rPr>
          <w:rFonts w:ascii="仿宋_GB2312" w:hAnsi="宋体" w:hint="eastAsia"/>
          <w:b/>
          <w:bCs/>
          <w:sz w:val="30"/>
          <w:szCs w:val="30"/>
        </w:rPr>
      </w:pPr>
      <w:bookmarkStart w:id="6" w:name="_Toc5282"/>
      <w:r>
        <w:rPr>
          <w:rFonts w:ascii="仿宋_GB2312" w:hAnsi="宋体" w:hint="eastAsia"/>
          <w:b/>
          <w:bCs/>
          <w:sz w:val="30"/>
          <w:szCs w:val="30"/>
        </w:rPr>
        <w:t>5.标准主要起草人</w:t>
      </w:r>
      <w:bookmarkEnd w:id="6"/>
    </w:p>
    <w:p w14:paraId="3B510836" w14:textId="77777777" w:rsidR="00304D62" w:rsidRDefault="00000000">
      <w:pPr>
        <w:ind w:firstLine="560"/>
      </w:pPr>
      <w:r>
        <w:rPr>
          <w:rFonts w:hint="eastAsia"/>
        </w:rPr>
        <w:t>王赟，甘肃省疾控中心，主任技师，甘肃省卫生健康行业骨干人才，主持起草甘肃省首个放射卫生地方标准，在</w:t>
      </w:r>
      <w:r>
        <w:rPr>
          <w:rFonts w:hint="eastAsia"/>
        </w:rPr>
        <w:t>SCI</w:t>
      </w:r>
      <w:r>
        <w:rPr>
          <w:rFonts w:hint="eastAsia"/>
        </w:rPr>
        <w:t>及国家核心期刊发表论文</w:t>
      </w:r>
      <w:r>
        <w:rPr>
          <w:rFonts w:hint="eastAsia"/>
        </w:rPr>
        <w:t>20</w:t>
      </w:r>
      <w:r>
        <w:rPr>
          <w:rFonts w:hint="eastAsia"/>
        </w:rPr>
        <w:t>多篇。《</w:t>
      </w:r>
      <w:r>
        <w:rPr>
          <w:rFonts w:hint="eastAsia"/>
        </w:rPr>
        <w:t>Radiation Medicine and Protection</w:t>
      </w:r>
      <w:r>
        <w:rPr>
          <w:rFonts w:hint="eastAsia"/>
        </w:rPr>
        <w:t>》首届青年编委，中国医学装备协会医用辐射装备防护与检测专业委员会第四者常务委员，中华预防医学会放射卫生专业委员会第五届委员会青年委员</w:t>
      </w:r>
      <w:r>
        <w:rPr>
          <w:rFonts w:hint="eastAsia"/>
        </w:rPr>
        <w:lastRenderedPageBreak/>
        <w:t>会委员、中国计量测试学会第八届理事会电离辐射专业委员会委员、中华环保联合会核能核技术与生态环境保护专业委员会委员。标准编制负责人，主要负责成立标准制订课题组，并制订详细的标准制订计划与任务分工，起草、审核标准。</w:t>
      </w:r>
    </w:p>
    <w:p w14:paraId="2EB4D351" w14:textId="77777777" w:rsidR="00304D62" w:rsidRDefault="00000000">
      <w:pPr>
        <w:ind w:firstLine="560"/>
        <w:rPr>
          <w:rFonts w:ascii="仿宋_GB2312" w:hAnsi="宋体" w:hint="eastAsia"/>
          <w:sz w:val="24"/>
        </w:rPr>
      </w:pPr>
      <w:r>
        <w:rPr>
          <w:rFonts w:hint="eastAsia"/>
        </w:rPr>
        <w:t>张涵宇，甘肃省疾控中心，主管技师。主要负责进行国内外相关标准和文献资料调研，包括采样装置和采样滤膜性能、采样程序、流量校准、采样质量控制、样品制备等，结合国内外相关方法的分析与比较，确定标准的适用范围，并制定相应的技术路线，起草标准。参与验证实验，包括国际禁核组织组织“</w:t>
      </w:r>
      <w:r>
        <w:rPr>
          <w:rFonts w:hint="eastAsia"/>
        </w:rPr>
        <w:t>CTBTO</w:t>
      </w:r>
      <w:r>
        <w:rPr>
          <w:rFonts w:hint="eastAsia"/>
        </w:rPr>
        <w:t>”核素监测台站等单位。</w:t>
      </w:r>
    </w:p>
    <w:p w14:paraId="6A1B853E"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7" w:name="_Toc30544"/>
      <w:r>
        <w:rPr>
          <w:rFonts w:ascii="黑体" w:eastAsia="黑体" w:hAnsi="黑体" w:cs="黑体" w:hint="eastAsia"/>
          <w:b/>
          <w:sz w:val="32"/>
          <w:szCs w:val="32"/>
        </w:rPr>
        <w:t>标准编制原则和确定主要内容的论据</w:t>
      </w:r>
      <w:bookmarkEnd w:id="7"/>
    </w:p>
    <w:p w14:paraId="3CD38BEB" w14:textId="77777777" w:rsidR="00304D62" w:rsidRDefault="00000000">
      <w:pPr>
        <w:numPr>
          <w:ilvl w:val="0"/>
          <w:numId w:val="2"/>
        </w:numPr>
        <w:adjustRightInd w:val="0"/>
        <w:snapToGrid w:val="0"/>
        <w:ind w:firstLine="600"/>
        <w:outlineLvl w:val="1"/>
        <w:rPr>
          <w:rFonts w:ascii="仿宋_GB2312" w:hAnsi="仿宋_GB2312" w:cs="仿宋_GB2312" w:hint="eastAsia"/>
          <w:b/>
          <w:sz w:val="30"/>
          <w:szCs w:val="30"/>
        </w:rPr>
      </w:pPr>
      <w:bookmarkStart w:id="8" w:name="_Toc24276"/>
      <w:r>
        <w:rPr>
          <w:rFonts w:ascii="仿宋_GB2312" w:hAnsi="仿宋_GB2312" w:cs="仿宋_GB2312" w:hint="eastAsia"/>
          <w:b/>
          <w:sz w:val="30"/>
          <w:szCs w:val="30"/>
        </w:rPr>
        <w:t>标准编制原则</w:t>
      </w:r>
      <w:bookmarkEnd w:id="8"/>
    </w:p>
    <w:p w14:paraId="1AAB7B88" w14:textId="77777777" w:rsidR="00304D62" w:rsidRDefault="00000000">
      <w:pPr>
        <w:ind w:firstLine="560"/>
      </w:pPr>
      <w:r>
        <w:t>根</w:t>
      </w:r>
      <w:r>
        <w:rPr>
          <w:rFonts w:hint="eastAsia"/>
        </w:rPr>
        <w:t>据《中华人民共和国大气污染防治法》《中华人民共和国环境</w:t>
      </w:r>
      <w:r>
        <w:t>保护</w:t>
      </w:r>
      <w:r>
        <w:rPr>
          <w:rFonts w:hint="eastAsia"/>
        </w:rPr>
        <w:t>法》《中华人民共和国核安全法》和《中华人民共和国放射性污染防治法》等法律、法规和规章，保护</w:t>
      </w:r>
      <w:r>
        <w:t>环境，保护人体健康</w:t>
      </w:r>
      <w:r>
        <w:rPr>
          <w:rFonts w:hint="eastAsia"/>
        </w:rPr>
        <w:t>，</w:t>
      </w:r>
      <w:r>
        <w:t>规范环境监测方法</w:t>
      </w:r>
      <w:r>
        <w:rPr>
          <w:rFonts w:hint="eastAsia"/>
        </w:rPr>
        <w:t>。</w:t>
      </w:r>
    </w:p>
    <w:p w14:paraId="3FAEDCFC" w14:textId="77777777" w:rsidR="00304D62" w:rsidRDefault="00000000">
      <w:pPr>
        <w:ind w:firstLine="560"/>
      </w:pPr>
      <w:r>
        <w:t>统一性原则：确保标准与</w:t>
      </w:r>
      <w:r>
        <w:t>GB/T 20001</w:t>
      </w:r>
      <w:r>
        <w:t>系列标准中的其他部分在标准结构、术语等方面保持一致。</w:t>
      </w:r>
    </w:p>
    <w:p w14:paraId="32607B73" w14:textId="77777777" w:rsidR="00304D62" w:rsidRDefault="00000000">
      <w:pPr>
        <w:ind w:firstLine="560"/>
      </w:pPr>
      <w:r>
        <w:t>协调性原则：标准在涉及标准化术语、核心技术要素</w:t>
      </w:r>
      <w:r>
        <w:t>“</w:t>
      </w:r>
      <w:r>
        <w:t>要求</w:t>
      </w:r>
      <w:r>
        <w:t>”</w:t>
      </w:r>
      <w:r>
        <w:t>和试验方法的起草表述规则等方面遵守现行的</w:t>
      </w:r>
      <w:r>
        <w:t>GB/T 1.1</w:t>
      </w:r>
      <w:r>
        <w:t>、</w:t>
      </w:r>
      <w:r>
        <w:t>GB/T 20000.1</w:t>
      </w:r>
      <w:r>
        <w:t>等标准。</w:t>
      </w:r>
    </w:p>
    <w:p w14:paraId="3A6CC4B1" w14:textId="77777777" w:rsidR="00304D62" w:rsidRDefault="00000000">
      <w:pPr>
        <w:ind w:firstLine="560"/>
      </w:pPr>
      <w:r>
        <w:t>普适性原则：</w:t>
      </w:r>
      <w:r>
        <w:rPr>
          <w:rFonts w:hint="eastAsia"/>
        </w:rPr>
        <w:t>本</w:t>
      </w:r>
      <w:r>
        <w:t>标准制定目的是为以</w:t>
      </w:r>
      <w:r>
        <w:rPr>
          <w:rFonts w:hint="eastAsia"/>
        </w:rPr>
        <w:t>大气气溶连续监测系统</w:t>
      </w:r>
      <w:r>
        <w:t>为标准化对象提供具有指导意义的</w:t>
      </w:r>
      <w:r>
        <w:rPr>
          <w:rFonts w:hint="eastAsia"/>
        </w:rPr>
        <w:t>指南</w:t>
      </w:r>
      <w:r>
        <w:t>。</w:t>
      </w:r>
    </w:p>
    <w:p w14:paraId="79C292F0" w14:textId="77777777" w:rsidR="00304D62" w:rsidRDefault="00000000">
      <w:pPr>
        <w:ind w:firstLine="560"/>
      </w:pPr>
      <w:r>
        <w:lastRenderedPageBreak/>
        <w:t>实用性原则：标准编制参阅了大量的国内外规范类标准，在充分借鉴已有经验的基础上，给出了一些示例，为标准实施者提供</w:t>
      </w:r>
      <w:r>
        <w:rPr>
          <w:rFonts w:hint="eastAsia"/>
        </w:rPr>
        <w:t>了</w:t>
      </w:r>
      <w:r>
        <w:t>具体的操作指导</w:t>
      </w:r>
      <w:r>
        <w:rPr>
          <w:rFonts w:hint="eastAsia"/>
        </w:rPr>
        <w:t>。</w:t>
      </w:r>
    </w:p>
    <w:p w14:paraId="388BFCD2" w14:textId="77777777" w:rsidR="00304D62" w:rsidRDefault="00000000">
      <w:pPr>
        <w:adjustRightInd w:val="0"/>
        <w:snapToGrid w:val="0"/>
        <w:ind w:firstLine="600"/>
        <w:outlineLvl w:val="1"/>
        <w:rPr>
          <w:rFonts w:ascii="仿宋_GB2312" w:hAnsi="仿宋_GB2312" w:cs="仿宋_GB2312" w:hint="eastAsia"/>
          <w:b/>
          <w:sz w:val="30"/>
          <w:szCs w:val="30"/>
        </w:rPr>
      </w:pPr>
      <w:bookmarkStart w:id="9" w:name="_Toc20048"/>
      <w:r>
        <w:rPr>
          <w:rFonts w:ascii="仿宋_GB2312" w:hAnsi="仿宋_GB2312" w:cs="仿宋_GB2312" w:hint="eastAsia"/>
          <w:b/>
          <w:sz w:val="30"/>
          <w:szCs w:val="30"/>
        </w:rPr>
        <w:t>2.主要内容论据</w:t>
      </w:r>
      <w:bookmarkEnd w:id="9"/>
    </w:p>
    <w:p w14:paraId="6D6ED309" w14:textId="77777777" w:rsidR="00304D62" w:rsidRDefault="00000000">
      <w:pPr>
        <w:ind w:firstLine="560"/>
      </w:pPr>
      <w:r>
        <w:rPr>
          <w:rFonts w:hint="eastAsia"/>
        </w:rPr>
        <w:t>标准的主要内容有</w:t>
      </w:r>
      <w:r>
        <w:t>技术指标</w:t>
      </w:r>
      <w:r>
        <w:rPr>
          <w:rFonts w:hint="eastAsia"/>
        </w:rPr>
        <w:t>、</w:t>
      </w:r>
      <w:r>
        <w:t>参数性能要求</w:t>
      </w:r>
      <w:r>
        <w:rPr>
          <w:rFonts w:hint="eastAsia"/>
        </w:rPr>
        <w:t>、测量系统要求、</w:t>
      </w:r>
      <w:r>
        <w:t>试验方法</w:t>
      </w:r>
      <w:r>
        <w:rPr>
          <w:rFonts w:hint="eastAsia"/>
        </w:rPr>
        <w:t>分析规则、结果报告、样品信息、运输和保存等内容。</w:t>
      </w:r>
    </w:p>
    <w:p w14:paraId="4FA2FCCD" w14:textId="77777777" w:rsidR="00304D62" w:rsidRDefault="00000000">
      <w:pPr>
        <w:ind w:firstLine="560"/>
      </w:pPr>
      <w:r>
        <w:rPr>
          <w:rFonts w:hint="eastAsia"/>
        </w:rPr>
        <w:t>1.</w:t>
      </w:r>
      <w:r>
        <w:rPr>
          <w:rFonts w:hint="eastAsia"/>
        </w:rPr>
        <w:t>大气气溶胶γ能谱分析</w:t>
      </w:r>
    </w:p>
    <w:p w14:paraId="3AC91A1E" w14:textId="77777777" w:rsidR="00304D62" w:rsidRDefault="00000000">
      <w:pPr>
        <w:ind w:firstLine="560"/>
      </w:pPr>
      <w:r>
        <w:rPr>
          <w:rFonts w:hint="eastAsia"/>
        </w:rPr>
        <w:t>该检测项目和技术要求依据</w:t>
      </w:r>
      <w:r>
        <w:rPr>
          <w:rFonts w:hint="eastAsia"/>
        </w:rPr>
        <w:t xml:space="preserve">GB/T 11713 </w:t>
      </w:r>
      <w:r>
        <w:rPr>
          <w:rFonts w:hint="eastAsia"/>
        </w:rPr>
        <w:t>高纯锗γ能谱分析通用方法、</w:t>
      </w:r>
      <w:r>
        <w:rPr>
          <w:rFonts w:hint="eastAsia"/>
        </w:rPr>
        <w:t xml:space="preserve">GB/T 16145  </w:t>
      </w:r>
      <w:r>
        <w:rPr>
          <w:rFonts w:hint="eastAsia"/>
        </w:rPr>
        <w:t>环境及生物样品中放射性核素的γ能谱分析方法和</w:t>
      </w:r>
      <w:r>
        <w:rPr>
          <w:rFonts w:hint="eastAsia"/>
        </w:rPr>
        <w:t xml:space="preserve">HJ  61 </w:t>
      </w:r>
      <w:r>
        <w:rPr>
          <w:rFonts w:hint="eastAsia"/>
        </w:rPr>
        <w:t>辐射环境检测技术规范。此外，起草组根据兰州核素台站实验数据增加了连续测量系统中</w:t>
      </w:r>
      <w:r>
        <w:rPr>
          <w:rFonts w:hint="eastAsia"/>
        </w:rPr>
        <w:t>QC</w:t>
      </w:r>
      <w:r>
        <w:rPr>
          <w:rFonts w:hint="eastAsia"/>
        </w:rPr>
        <w:t>源的要求。</w:t>
      </w:r>
    </w:p>
    <w:p w14:paraId="4FFBBBFA" w14:textId="77777777" w:rsidR="00304D62" w:rsidRDefault="00000000">
      <w:pPr>
        <w:ind w:firstLine="560"/>
      </w:pPr>
      <w:r>
        <w:rPr>
          <w:rFonts w:hint="eastAsia"/>
        </w:rPr>
        <w:t>2.</w:t>
      </w:r>
      <w:r>
        <w:rPr>
          <w:rFonts w:hint="eastAsia"/>
        </w:rPr>
        <w:t>气溶胶中γ放射性核素的测定</w:t>
      </w:r>
    </w:p>
    <w:p w14:paraId="07673FD0" w14:textId="77777777" w:rsidR="00304D62" w:rsidRDefault="00000000">
      <w:pPr>
        <w:ind w:firstLine="560"/>
      </w:pPr>
      <w:r>
        <w:rPr>
          <w:rFonts w:hint="eastAsia"/>
        </w:rPr>
        <w:t>该检测项目和技术要求依据</w:t>
      </w:r>
      <w:r>
        <w:rPr>
          <w:rFonts w:hint="eastAsia"/>
        </w:rPr>
        <w:t xml:space="preserve">HJ 1149 </w:t>
      </w:r>
      <w:r>
        <w:rPr>
          <w:rFonts w:hint="eastAsia"/>
        </w:rPr>
        <w:t>环境空气气溶胶中γ放射性核素的测定滤膜压片γ能谱法，在此基础上增加了峰型刻度方法，样品制备补充了打孔法、并优化了滤膜折叠方法</w:t>
      </w:r>
    </w:p>
    <w:p w14:paraId="1F07C7CF" w14:textId="77777777" w:rsidR="00304D62" w:rsidRDefault="00000000">
      <w:pPr>
        <w:ind w:firstLine="560"/>
      </w:pPr>
      <w:r>
        <w:rPr>
          <w:rFonts w:hint="eastAsia"/>
        </w:rPr>
        <w:t>3.</w:t>
      </w:r>
      <w:r>
        <w:rPr>
          <w:rFonts w:hint="eastAsia"/>
        </w:rPr>
        <w:t>大气气溶胶连续采集系统</w:t>
      </w:r>
    </w:p>
    <w:p w14:paraId="0889215A" w14:textId="77777777" w:rsidR="00304D62" w:rsidRDefault="00000000">
      <w:pPr>
        <w:ind w:firstLine="560"/>
      </w:pPr>
      <w:r>
        <w:rPr>
          <w:rFonts w:hint="eastAsia"/>
        </w:rPr>
        <w:t>该检测项目和技术要求依据国际原子能机构（</w:t>
      </w:r>
      <w:r>
        <w:rPr>
          <w:rFonts w:hint="eastAsia"/>
        </w:rPr>
        <w:t>IAEA</w:t>
      </w:r>
      <w:r>
        <w:rPr>
          <w:rFonts w:hint="eastAsia"/>
        </w:rPr>
        <w:t>）关于食品和环境样品中放射性核素测量的第</w:t>
      </w:r>
      <w:r>
        <w:rPr>
          <w:rFonts w:hint="eastAsia"/>
        </w:rPr>
        <w:t>295</w:t>
      </w:r>
      <w:r>
        <w:rPr>
          <w:rFonts w:hint="eastAsia"/>
        </w:rPr>
        <w:t>号技术报告、美国</w:t>
      </w:r>
      <w:r>
        <w:rPr>
          <w:rFonts w:hint="eastAsia"/>
        </w:rPr>
        <w:t>FDA</w:t>
      </w:r>
      <w:r>
        <w:rPr>
          <w:rFonts w:hint="eastAsia"/>
        </w:rPr>
        <w:t>操作规范、</w:t>
      </w:r>
      <w:r>
        <w:rPr>
          <w:rFonts w:hint="eastAsia"/>
        </w:rPr>
        <w:t>CTBTO</w:t>
      </w:r>
      <w:r>
        <w:rPr>
          <w:rFonts w:hint="eastAsia"/>
        </w:rPr>
        <w:t>台站操作手册</w:t>
      </w:r>
      <w:bookmarkStart w:id="10" w:name="OLE_LINK52"/>
      <w:bookmarkStart w:id="11" w:name="OLE_LINK51"/>
      <w:r>
        <w:rPr>
          <w:rFonts w:hint="eastAsia"/>
        </w:rPr>
        <w:t>OMC-CMD-STD-CNP21M-O</w:t>
      </w:r>
      <w:bookmarkEnd w:id="10"/>
      <w:bookmarkEnd w:id="11"/>
      <w:r>
        <w:rPr>
          <w:rFonts w:hint="eastAsia"/>
        </w:rPr>
        <w:t>。</w:t>
      </w:r>
    </w:p>
    <w:p w14:paraId="0FD1224F" w14:textId="77777777" w:rsidR="00304D62" w:rsidRDefault="00000000">
      <w:pPr>
        <w:ind w:firstLine="560"/>
        <w:rPr>
          <w:rFonts w:ascii="黑体" w:eastAsia="黑体" w:hAnsi="黑体" w:cs="黑体" w:hint="eastAsia"/>
          <w:b/>
          <w:sz w:val="32"/>
          <w:szCs w:val="32"/>
        </w:rPr>
      </w:pPr>
      <w:r>
        <w:rPr>
          <w:rFonts w:hint="eastAsia"/>
        </w:rPr>
        <w:t>本标准编制时规定了规范标准的标准名称、范围、要求和证实方法等必备要素的编写要求和表述规则。规范标准中的要求首先规定了与标准化对象的功能实现直接相关的特性和特性的指标，如测量系统</w:t>
      </w:r>
      <w:r>
        <w:rPr>
          <w:rFonts w:hint="eastAsia"/>
        </w:rPr>
        <w:lastRenderedPageBreak/>
        <w:t>的组成、刻度过程的要求、样品采集和测量的要求等。确立了试验方法标准的结构，规定了原理、试验条件、材料、仪器设备、样品采集、试验步骤、试验数据处理、结果报告等内容。本项目组在标准起草时已对大气气溶胶进行了近</w:t>
      </w:r>
      <w:r>
        <w:rPr>
          <w:rFonts w:hint="eastAsia"/>
        </w:rPr>
        <w:t>10</w:t>
      </w:r>
      <w:r>
        <w:rPr>
          <w:rFonts w:hint="eastAsia"/>
        </w:rPr>
        <w:t>年的连续监测和数据分析，确保标准中的技术指标和参数基于科学原理和实验数据，保证了分析方法的准确性和可靠性。针对我国在全球大气运动的重要位置，本标准适用全年不同环境条件下的气溶胶放射性核素分析，满足不同地区和不同监测需求。</w:t>
      </w:r>
    </w:p>
    <w:p w14:paraId="651DF568"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12" w:name="_Toc20405"/>
      <w:r>
        <w:rPr>
          <w:rFonts w:ascii="黑体" w:eastAsia="黑体" w:hAnsi="黑体" w:cs="黑体" w:hint="eastAsia"/>
          <w:b/>
          <w:sz w:val="32"/>
          <w:szCs w:val="32"/>
        </w:rPr>
        <w:t>试验验证的分析、综述报告，技术经济论证，预期的经济效益、社会效益和生态效益</w:t>
      </w:r>
      <w:bookmarkEnd w:id="12"/>
    </w:p>
    <w:p w14:paraId="495C8646" w14:textId="77777777" w:rsidR="00304D62" w:rsidRDefault="00000000">
      <w:pPr>
        <w:adjustRightInd w:val="0"/>
        <w:snapToGrid w:val="0"/>
        <w:ind w:firstLine="600"/>
        <w:outlineLvl w:val="1"/>
        <w:rPr>
          <w:rFonts w:ascii="仿宋_GB2312" w:hAnsi="仿宋_GB2312" w:cs="仿宋_GB2312" w:hint="eastAsia"/>
          <w:b/>
          <w:sz w:val="30"/>
          <w:szCs w:val="30"/>
        </w:rPr>
      </w:pPr>
      <w:bookmarkStart w:id="13" w:name="_Toc22058"/>
      <w:r>
        <w:rPr>
          <w:rFonts w:ascii="仿宋_GB2312" w:hAnsi="仿宋_GB2312" w:cs="仿宋_GB2312" w:hint="eastAsia"/>
          <w:b/>
          <w:sz w:val="30"/>
          <w:szCs w:val="30"/>
        </w:rPr>
        <w:t>1.试验验证的分析、综述报告</w:t>
      </w:r>
      <w:bookmarkEnd w:id="13"/>
    </w:p>
    <w:p w14:paraId="7D98100E" w14:textId="77777777" w:rsidR="00304D62" w:rsidRDefault="00000000">
      <w:pPr>
        <w:ind w:firstLine="560"/>
        <w:rPr>
          <w:rFonts w:ascii="黑体" w:eastAsia="黑体" w:hAnsi="黑体" w:cs="黑体" w:hint="eastAsia"/>
          <w:b/>
          <w:sz w:val="32"/>
          <w:szCs w:val="32"/>
        </w:rPr>
      </w:pPr>
      <w:r>
        <w:rPr>
          <w:rFonts w:hint="eastAsia"/>
        </w:rPr>
        <w:t>按照本标准中的技术要求，本项目组采用大气气溶胶连续采集系统对甘肃省各市州大气气溶胶进行采样，使用低本底高纯锗γ谱仪对气溶胶样品进行测量。按照标准要求的能量刻度、峰型刻度、效率刻度、样品分析方法，对标准方法进行实验验证。甘肃省不同市州环境气溶胶中</w:t>
      </w:r>
      <w:r>
        <w:rPr>
          <w:rFonts w:hint="eastAsia"/>
          <w:vertAlign w:val="superscript"/>
        </w:rPr>
        <w:t>7</w:t>
      </w:r>
      <w:r>
        <w:rPr>
          <w:rFonts w:hint="eastAsia"/>
        </w:rPr>
        <w:t>Be</w:t>
      </w:r>
      <w:r>
        <w:rPr>
          <w:rFonts w:hint="eastAsia"/>
        </w:rPr>
        <w:t>范围活度浓度为</w:t>
      </w:r>
      <w:r>
        <w:rPr>
          <w:rFonts w:hint="eastAsia"/>
        </w:rPr>
        <w:t>6.62</w:t>
      </w:r>
      <w:r>
        <w:rPr>
          <w:rFonts w:hint="eastAsia"/>
        </w:rPr>
        <w:t>～</w:t>
      </w:r>
      <w:r>
        <w:rPr>
          <w:rFonts w:hint="eastAsia"/>
        </w:rPr>
        <w:t>13.85mBq</w:t>
      </w:r>
      <w:r>
        <w:rPr>
          <w:rFonts w:hint="eastAsia"/>
        </w:rPr>
        <w:t>·</w:t>
      </w:r>
      <w:r>
        <w:rPr>
          <w:rFonts w:hint="eastAsia"/>
        </w:rPr>
        <w:t>m</w:t>
      </w:r>
      <w:r>
        <w:rPr>
          <w:rFonts w:hint="eastAsia"/>
          <w:vertAlign w:val="superscript"/>
        </w:rPr>
        <w:t>-3</w:t>
      </w:r>
      <w:r>
        <w:rPr>
          <w:rFonts w:hint="eastAsia"/>
        </w:rPr>
        <w:t>，均值</w:t>
      </w:r>
      <w:r>
        <w:rPr>
          <w:rFonts w:hint="eastAsia"/>
        </w:rPr>
        <w:t>9.72mBq</w:t>
      </w:r>
      <w:r>
        <w:rPr>
          <w:rFonts w:hint="eastAsia"/>
        </w:rPr>
        <w:t>·</w:t>
      </w:r>
      <w:r>
        <w:rPr>
          <w:rFonts w:hint="eastAsia"/>
        </w:rPr>
        <w:t>m</w:t>
      </w:r>
      <w:r>
        <w:rPr>
          <w:rFonts w:hint="eastAsia"/>
          <w:vertAlign w:val="superscript"/>
        </w:rPr>
        <w:t>-3</w:t>
      </w:r>
      <w:r>
        <w:rPr>
          <w:rFonts w:hint="eastAsia"/>
        </w:rPr>
        <w:t>。与际禁核组织组织“</w:t>
      </w:r>
      <w:r>
        <w:rPr>
          <w:rFonts w:hint="eastAsia"/>
        </w:rPr>
        <w:t>CTBTO</w:t>
      </w:r>
      <w:r>
        <w:rPr>
          <w:rFonts w:hint="eastAsia"/>
        </w:rPr>
        <w:t>”核素监测台站监测结果比较，</w:t>
      </w:r>
      <w:r>
        <w:t>相对偏差和实验室间相对标准偏差均在可接受范围内</w:t>
      </w:r>
      <w:r>
        <w:rPr>
          <w:rFonts w:hint="eastAsia"/>
        </w:rPr>
        <w:t>，</w:t>
      </w:r>
      <w:r>
        <w:t>结果显示方法的准确度满足要求</w:t>
      </w:r>
      <w:r>
        <w:rPr>
          <w:rFonts w:hint="eastAsia"/>
        </w:rPr>
        <w:t>。</w:t>
      </w:r>
    </w:p>
    <w:p w14:paraId="4DACE71D" w14:textId="77777777" w:rsidR="00304D62" w:rsidRDefault="00000000">
      <w:pPr>
        <w:adjustRightInd w:val="0"/>
        <w:snapToGrid w:val="0"/>
        <w:ind w:firstLine="600"/>
        <w:outlineLvl w:val="1"/>
        <w:rPr>
          <w:rFonts w:ascii="仿宋_GB2312" w:hAnsi="仿宋_GB2312" w:cs="仿宋_GB2312" w:hint="eastAsia"/>
          <w:b/>
          <w:sz w:val="30"/>
          <w:szCs w:val="30"/>
        </w:rPr>
      </w:pPr>
      <w:bookmarkStart w:id="14" w:name="_Toc29772"/>
      <w:r>
        <w:rPr>
          <w:rFonts w:ascii="仿宋_GB2312" w:hAnsi="仿宋_GB2312" w:cs="仿宋_GB2312" w:hint="eastAsia"/>
          <w:b/>
          <w:sz w:val="30"/>
          <w:szCs w:val="30"/>
        </w:rPr>
        <w:t>2.经济效益</w:t>
      </w:r>
      <w:bookmarkEnd w:id="14"/>
    </w:p>
    <w:p w14:paraId="7D2B3174" w14:textId="77777777" w:rsidR="00304D62" w:rsidRDefault="00000000">
      <w:pPr>
        <w:ind w:firstLine="560"/>
        <w:rPr>
          <w:rFonts w:ascii="黑体" w:eastAsia="黑体" w:hAnsi="黑体" w:cs="黑体" w:hint="eastAsia"/>
          <w:b/>
          <w:sz w:val="32"/>
          <w:szCs w:val="32"/>
        </w:rPr>
      </w:pPr>
      <w:r>
        <w:t>通过制定和完善气溶胶</w:t>
      </w:r>
      <w:r>
        <w:rPr>
          <w:rFonts w:hint="eastAsia"/>
        </w:rPr>
        <w:t>采集</w:t>
      </w:r>
      <w:r>
        <w:t>分析方法，可以提高监测效率和准确性，加强我</w:t>
      </w:r>
      <w:r>
        <w:rPr>
          <w:rFonts w:hint="eastAsia"/>
        </w:rPr>
        <w:t>国气溶胶放射性核素连续监测</w:t>
      </w:r>
      <w:r>
        <w:t>的技术能力储备，为可能的</w:t>
      </w:r>
      <w:r>
        <w:lastRenderedPageBreak/>
        <w:t>放射性污染事件提供快速响应和处理能力，减少因放射性污染导致的健康问题和经济损失。通过有效的监测和预警，可以减少大规模环境污染事件的发生，从而降低环境治理和修复的成本</w:t>
      </w:r>
      <w:r>
        <w:rPr>
          <w:rFonts w:hint="eastAsia"/>
        </w:rPr>
        <w:t>。</w:t>
      </w:r>
    </w:p>
    <w:p w14:paraId="7D151AE2" w14:textId="77777777" w:rsidR="00304D62" w:rsidRDefault="00000000">
      <w:pPr>
        <w:adjustRightInd w:val="0"/>
        <w:snapToGrid w:val="0"/>
        <w:ind w:firstLine="600"/>
        <w:outlineLvl w:val="1"/>
        <w:rPr>
          <w:rFonts w:ascii="仿宋_GB2312" w:hAnsi="仿宋_GB2312" w:cs="仿宋_GB2312" w:hint="eastAsia"/>
          <w:b/>
          <w:sz w:val="30"/>
          <w:szCs w:val="30"/>
        </w:rPr>
      </w:pPr>
      <w:bookmarkStart w:id="15" w:name="_Toc20758"/>
      <w:r>
        <w:rPr>
          <w:rFonts w:ascii="仿宋_GB2312" w:hAnsi="仿宋_GB2312" w:cs="仿宋_GB2312" w:hint="eastAsia"/>
          <w:b/>
          <w:sz w:val="30"/>
          <w:szCs w:val="30"/>
        </w:rPr>
        <w:t>3.社会效益</w:t>
      </w:r>
      <w:bookmarkEnd w:id="15"/>
    </w:p>
    <w:p w14:paraId="2DB55819" w14:textId="77777777" w:rsidR="00304D62" w:rsidRDefault="00000000">
      <w:pPr>
        <w:ind w:firstLine="560"/>
      </w:pPr>
      <w:r>
        <w:t>规范</w:t>
      </w:r>
      <w:r>
        <w:rPr>
          <w:rFonts w:hint="eastAsia"/>
        </w:rPr>
        <w:t>大气</w:t>
      </w:r>
      <w:r>
        <w:t>气溶胶样品</w:t>
      </w:r>
      <w:r>
        <w:rPr>
          <w:rFonts w:hint="eastAsia"/>
        </w:rPr>
        <w:t>连续采集分析方法，</w:t>
      </w:r>
      <w:r>
        <w:t>提高监测效率和准确性，增强公众对环境安全和辐射防护工作的信心</w:t>
      </w:r>
      <w:r>
        <w:rPr>
          <w:rFonts w:hint="eastAsia"/>
        </w:rPr>
        <w:t>。</w:t>
      </w:r>
      <w:r>
        <w:t>有助于保护公众健康，减少放射性疾病的风险。及时准确的监测数据有助于在核事故或放射性污染事件中快速响应，减少社会恐慌，维护社会稳定</w:t>
      </w:r>
      <w:r>
        <w:rPr>
          <w:rFonts w:hint="eastAsia"/>
        </w:rPr>
        <w:t>。</w:t>
      </w:r>
    </w:p>
    <w:p w14:paraId="210184A3" w14:textId="77777777" w:rsidR="00304D62" w:rsidRDefault="00000000">
      <w:pPr>
        <w:adjustRightInd w:val="0"/>
        <w:snapToGrid w:val="0"/>
        <w:ind w:firstLine="600"/>
        <w:outlineLvl w:val="1"/>
        <w:rPr>
          <w:rFonts w:ascii="仿宋_GB2312" w:hAnsi="仿宋_GB2312" w:cs="仿宋_GB2312" w:hint="eastAsia"/>
          <w:b/>
          <w:sz w:val="30"/>
          <w:szCs w:val="30"/>
        </w:rPr>
      </w:pPr>
      <w:bookmarkStart w:id="16" w:name="_Toc29201"/>
      <w:r>
        <w:rPr>
          <w:rFonts w:ascii="仿宋_GB2312" w:hAnsi="仿宋_GB2312" w:cs="仿宋_GB2312" w:hint="eastAsia"/>
          <w:b/>
          <w:sz w:val="30"/>
          <w:szCs w:val="30"/>
        </w:rPr>
        <w:t>4.生态效益</w:t>
      </w:r>
      <w:bookmarkEnd w:id="16"/>
    </w:p>
    <w:p w14:paraId="524A149D" w14:textId="77777777" w:rsidR="00304D62" w:rsidRDefault="00000000">
      <w:pPr>
        <w:ind w:firstLine="560"/>
      </w:pPr>
      <w:r>
        <w:t>规范的监测方法有助于及时发现</w:t>
      </w:r>
      <w:r>
        <w:rPr>
          <w:rFonts w:hint="eastAsia"/>
        </w:rPr>
        <w:t>大气</w:t>
      </w:r>
      <w:r>
        <w:t>放射性污染，改善环境质量，促进可持续发展。通过有效的监测放射性核素，</w:t>
      </w:r>
      <w:r>
        <w:rPr>
          <w:rFonts w:hint="eastAsia"/>
        </w:rPr>
        <w:t>掌握大气气溶胶放射性核素本底水平，</w:t>
      </w:r>
      <w:r>
        <w:t>通过对辐射环境影响的分析，可以评估</w:t>
      </w:r>
      <w:r>
        <w:rPr>
          <w:rFonts w:hint="eastAsia"/>
        </w:rPr>
        <w:t>环境中的放射性气溶胶</w:t>
      </w:r>
      <w:r>
        <w:t>对周围公众造成的辐射环境影响，从而采取相应的环境保护措施</w:t>
      </w:r>
      <w:r>
        <w:rPr>
          <w:rFonts w:hint="eastAsia"/>
        </w:rPr>
        <w:t>。</w:t>
      </w:r>
    </w:p>
    <w:p w14:paraId="7F05BC19" w14:textId="37B90D94" w:rsidR="00304D62" w:rsidRDefault="00000000">
      <w:pPr>
        <w:ind w:firstLine="560"/>
        <w:rPr>
          <w:rFonts w:ascii="黑体" w:eastAsia="黑体" w:hAnsi="黑体" w:cs="黑体" w:hint="eastAsia"/>
          <w:b/>
          <w:sz w:val="32"/>
          <w:szCs w:val="32"/>
        </w:rPr>
      </w:pPr>
      <w:r>
        <w:t>以上分析基于《</w:t>
      </w:r>
      <w:r w:rsidR="006E28E1">
        <w:rPr>
          <w:rFonts w:hint="eastAsia"/>
        </w:rPr>
        <w:t>气溶胶放射性核素连续测量</w:t>
      </w:r>
      <w:r w:rsidR="006E28E1">
        <w:rPr>
          <w:rFonts w:hint="eastAsia"/>
        </w:rPr>
        <w:t xml:space="preserve"> </w:t>
      </w:r>
      <w:r w:rsidR="006E28E1">
        <w:rPr>
          <w:rFonts w:hint="eastAsia"/>
        </w:rPr>
        <w:t>高纯锗γ能谱法</w:t>
      </w:r>
      <w:r>
        <w:t>》的实施，展示了该标准对于经济效益、社会效益和生态效益的预期影响。</w:t>
      </w:r>
    </w:p>
    <w:p w14:paraId="1A0E0EF5"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17" w:name="_Toc4680"/>
      <w:r>
        <w:rPr>
          <w:rFonts w:ascii="黑体" w:eastAsia="黑体" w:hAnsi="黑体" w:cs="黑体" w:hint="eastAsia"/>
          <w:b/>
          <w:sz w:val="32"/>
          <w:szCs w:val="32"/>
        </w:rPr>
        <w:t>与国际、国外同类标准技术内容的对比情况</w:t>
      </w:r>
      <w:bookmarkEnd w:id="17"/>
    </w:p>
    <w:p w14:paraId="28609ADB" w14:textId="77777777" w:rsidR="00304D62" w:rsidRDefault="00000000">
      <w:pPr>
        <w:adjustRightInd w:val="0"/>
        <w:snapToGrid w:val="0"/>
        <w:ind w:firstLine="600"/>
        <w:outlineLvl w:val="1"/>
        <w:rPr>
          <w:rFonts w:ascii="仿宋_GB2312" w:hAnsi="仿宋_GB2312" w:cs="仿宋_GB2312" w:hint="eastAsia"/>
          <w:b/>
          <w:sz w:val="30"/>
          <w:szCs w:val="30"/>
        </w:rPr>
      </w:pPr>
      <w:bookmarkStart w:id="18" w:name="_Toc27808"/>
      <w:r>
        <w:rPr>
          <w:rFonts w:ascii="仿宋_GB2312" w:hAnsi="仿宋_GB2312" w:cs="仿宋_GB2312" w:hint="eastAsia"/>
          <w:b/>
          <w:sz w:val="30"/>
          <w:szCs w:val="30"/>
        </w:rPr>
        <w:t>1.主要的国外指标</w:t>
      </w:r>
      <w:bookmarkEnd w:id="18"/>
    </w:p>
    <w:p w14:paraId="1D2192D6" w14:textId="77777777" w:rsidR="00304D62" w:rsidRDefault="00000000">
      <w:pPr>
        <w:ind w:firstLine="560"/>
      </w:pPr>
      <w:r>
        <w:rPr>
          <w:rFonts w:hint="eastAsia"/>
        </w:rPr>
        <w:t>I</w:t>
      </w:r>
      <w:r>
        <w:t>S019581</w:t>
      </w:r>
      <w:r>
        <w:rPr>
          <w:rFonts w:hint="eastAsia"/>
        </w:rPr>
        <w:t>:</w:t>
      </w:r>
      <w:r>
        <w:t>2017 Measurement of radioactivity Gamma emitting radionuclides-Rapidscreening method using scintillation detector gamma-ray spectrometry</w:t>
      </w:r>
      <w:r>
        <w:rPr>
          <w:rFonts w:hint="eastAsia"/>
        </w:rPr>
        <w:t>.</w:t>
      </w:r>
    </w:p>
    <w:p w14:paraId="2C0AD5F7" w14:textId="77777777" w:rsidR="00304D62" w:rsidRDefault="00000000">
      <w:pPr>
        <w:ind w:firstLine="560"/>
      </w:pPr>
      <w:r>
        <w:rPr>
          <w:rFonts w:hint="eastAsia"/>
        </w:rPr>
        <w:lastRenderedPageBreak/>
        <w:t>I</w:t>
      </w:r>
      <w:r>
        <w:t>S0 28218</w:t>
      </w:r>
      <w:r>
        <w:rPr>
          <w:rFonts w:hint="eastAsia"/>
        </w:rPr>
        <w:t>:</w:t>
      </w:r>
      <w:r>
        <w:t>2010 Radiation protection-Performance criteria for radiobioassay</w:t>
      </w:r>
      <w:r>
        <w:rPr>
          <w:rFonts w:hint="eastAsia"/>
        </w:rPr>
        <w:t>.</w:t>
      </w:r>
    </w:p>
    <w:p w14:paraId="36BF1D61" w14:textId="77777777" w:rsidR="00304D62" w:rsidRDefault="00000000">
      <w:pPr>
        <w:ind w:firstLine="560"/>
      </w:pPr>
      <w:r>
        <w:rPr>
          <w:rFonts w:hint="eastAsia"/>
        </w:rPr>
        <w:t>I</w:t>
      </w:r>
      <w:r>
        <w:t>AEA Technical Report Series No. 295</w:t>
      </w:r>
      <w:r>
        <w:rPr>
          <w:rFonts w:hint="eastAsia"/>
        </w:rPr>
        <w:t>:</w:t>
      </w:r>
      <w:r>
        <w:t>1989 Measurement of radionuclides in food andthe environment.</w:t>
      </w:r>
    </w:p>
    <w:p w14:paraId="5CD6D200" w14:textId="77777777" w:rsidR="00304D62" w:rsidRDefault="00000000">
      <w:pPr>
        <w:ind w:firstLine="560"/>
      </w:pPr>
      <w:r>
        <w:rPr>
          <w:rFonts w:hint="eastAsia"/>
        </w:rPr>
        <w:t>I</w:t>
      </w:r>
      <w:r>
        <w:t>AEA-TECDOC-1401</w:t>
      </w:r>
      <w:r>
        <w:rPr>
          <w:rFonts w:hint="eastAsia"/>
        </w:rPr>
        <w:t>:</w:t>
      </w:r>
      <w:r>
        <w:t>2004 Quantifying uncertainty in nuclear analytical measurements</w:t>
      </w:r>
      <w:r>
        <w:rPr>
          <w:rFonts w:hint="eastAsia"/>
        </w:rPr>
        <w:t>.</w:t>
      </w:r>
    </w:p>
    <w:p w14:paraId="384339F2" w14:textId="77777777" w:rsidR="00304D62" w:rsidRDefault="00000000">
      <w:pPr>
        <w:ind w:firstLine="560"/>
      </w:pPr>
      <w:r>
        <w:rPr>
          <w:rFonts w:hint="eastAsia"/>
        </w:rPr>
        <w:t>I</w:t>
      </w:r>
      <w:r>
        <w:t>AEA Safety Standards Series No,GSG-7</w:t>
      </w:r>
      <w:r>
        <w:rPr>
          <w:rFonts w:hint="eastAsia"/>
        </w:rPr>
        <w:t>:</w:t>
      </w:r>
      <w:r>
        <w:t>2018 0ccupational Radiation Proteetion.</w:t>
      </w:r>
    </w:p>
    <w:p w14:paraId="0612BAA1" w14:textId="77777777" w:rsidR="00304D62" w:rsidRDefault="00000000">
      <w:pPr>
        <w:adjustRightInd w:val="0"/>
        <w:snapToGrid w:val="0"/>
        <w:ind w:firstLine="600"/>
        <w:outlineLvl w:val="1"/>
        <w:rPr>
          <w:rFonts w:ascii="仿宋_GB2312" w:hAnsi="仿宋_GB2312" w:cs="仿宋_GB2312" w:hint="eastAsia"/>
          <w:b/>
          <w:sz w:val="30"/>
          <w:szCs w:val="30"/>
        </w:rPr>
      </w:pPr>
      <w:bookmarkStart w:id="19" w:name="_Toc8017"/>
      <w:r>
        <w:rPr>
          <w:rFonts w:ascii="仿宋_GB2312" w:hAnsi="仿宋_GB2312" w:cs="仿宋_GB2312" w:hint="eastAsia"/>
          <w:b/>
          <w:sz w:val="30"/>
          <w:szCs w:val="30"/>
        </w:rPr>
        <w:t>2.内容的对比情况</w:t>
      </w:r>
      <w:bookmarkEnd w:id="19"/>
    </w:p>
    <w:p w14:paraId="178E716E" w14:textId="39F46131" w:rsidR="00304D62" w:rsidRDefault="00000000">
      <w:pPr>
        <w:ind w:firstLine="560"/>
        <w:rPr>
          <w:rFonts w:ascii="黑体" w:eastAsia="黑体" w:hAnsi="黑体" w:cs="黑体" w:hint="eastAsia"/>
          <w:b/>
          <w:sz w:val="32"/>
          <w:szCs w:val="32"/>
        </w:rPr>
      </w:pPr>
      <w:r>
        <w:rPr>
          <w:rFonts w:hint="eastAsia"/>
        </w:rPr>
        <w:t>本标准在分析方法方面参考了</w:t>
      </w:r>
      <w:r>
        <w:t>国际原子能机构（</w:t>
      </w:r>
      <w:r>
        <w:t>IAEA</w:t>
      </w:r>
      <w:r>
        <w:t>）</w:t>
      </w:r>
      <w:r>
        <w:rPr>
          <w:rFonts w:hint="eastAsia"/>
        </w:rPr>
        <w:t>关于食品和环境样品中放射性核素测量的第</w:t>
      </w:r>
      <w:r>
        <w:rPr>
          <w:rFonts w:hint="eastAsia"/>
        </w:rPr>
        <w:t>295</w:t>
      </w:r>
      <w:r>
        <w:rPr>
          <w:rFonts w:hint="eastAsia"/>
        </w:rPr>
        <w:t>号技术报告、美国</w:t>
      </w:r>
      <w:r>
        <w:rPr>
          <w:rFonts w:hint="eastAsia"/>
        </w:rPr>
        <w:t>FDA</w:t>
      </w:r>
      <w:r>
        <w:rPr>
          <w:rFonts w:hint="eastAsia"/>
        </w:rPr>
        <w:t>操作规范等国际标准，确保了与国际标准的兼容性；</w:t>
      </w:r>
      <w:r>
        <w:t>方法精密度和准确度</w:t>
      </w:r>
      <w:r>
        <w:rPr>
          <w:rFonts w:hint="eastAsia"/>
        </w:rPr>
        <w:t>方面参考了</w:t>
      </w:r>
      <w:r>
        <w:t>国际原子能机构（</w:t>
      </w:r>
      <w:r>
        <w:t>IAEA</w:t>
      </w:r>
      <w:r>
        <w:t>）等最新发布的放射性核素分析相关技术文件</w:t>
      </w:r>
      <w:r>
        <w:rPr>
          <w:rFonts w:hint="eastAsia"/>
        </w:rPr>
        <w:t>；同时</w:t>
      </w:r>
      <w:r>
        <w:t>又结合</w:t>
      </w:r>
      <w:r>
        <w:rPr>
          <w:rFonts w:hint="eastAsia"/>
        </w:rPr>
        <w:t>中国特殊的地理位置和气候特征，在相关技术文件的基础上新增了针对大气气溶胶放射性核素监测的采集时间修正、测量时间修正、衰变时间修正等内容，</w:t>
      </w:r>
      <w:r>
        <w:t>确保了标准的严谨性、实用性和可操作性</w:t>
      </w:r>
      <w:r>
        <w:rPr>
          <w:rFonts w:hint="eastAsia"/>
        </w:rPr>
        <w:t>。</w:t>
      </w:r>
      <w:r>
        <w:t>《</w:t>
      </w:r>
      <w:r w:rsidR="006E28E1">
        <w:rPr>
          <w:rFonts w:hint="eastAsia"/>
        </w:rPr>
        <w:t>气溶胶放射性核素连续测量</w:t>
      </w:r>
      <w:r w:rsidR="006E28E1">
        <w:rPr>
          <w:rFonts w:hint="eastAsia"/>
        </w:rPr>
        <w:t xml:space="preserve"> </w:t>
      </w:r>
      <w:r w:rsidR="006E28E1">
        <w:rPr>
          <w:rFonts w:hint="eastAsia"/>
        </w:rPr>
        <w:t>高纯锗γ能谱法</w:t>
      </w:r>
      <w:r>
        <w:t>》在制定过程中充分考虑了国际标准和国外技术内容，确保了标准的国际兼容性和先进性，同时也根据国内的实际情况进行了适当的调整和优化。</w:t>
      </w:r>
    </w:p>
    <w:p w14:paraId="4EA2529D"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20" w:name="_Toc10756"/>
      <w:r>
        <w:rPr>
          <w:rFonts w:ascii="黑体" w:eastAsia="黑体" w:hAnsi="黑体" w:cs="黑体" w:hint="eastAsia"/>
          <w:b/>
          <w:sz w:val="32"/>
          <w:szCs w:val="32"/>
        </w:rPr>
        <w:t>以国际标准为基础的起草情况，以及是否合规引用或者采用国际国外标准，并说明未采用国际标准的原因</w:t>
      </w:r>
      <w:bookmarkEnd w:id="20"/>
    </w:p>
    <w:p w14:paraId="44484014" w14:textId="77777777" w:rsidR="00304D62" w:rsidRDefault="00000000">
      <w:pPr>
        <w:ind w:firstLine="560"/>
      </w:pPr>
      <w:r>
        <w:rPr>
          <w:rFonts w:hint="eastAsia"/>
        </w:rPr>
        <w:lastRenderedPageBreak/>
        <w:t>本标准起草过程中，系统梳理并参考了以下国际权威标准及技术文件，确保技术内容的科学性和国际接轨性：</w:t>
      </w:r>
      <w:r>
        <w:rPr>
          <w:rFonts w:hint="eastAsia"/>
        </w:rPr>
        <w:t xml:space="preserve">IAEA Safety Standards Series No. RS-G-1.8 </w:t>
      </w:r>
      <w:r>
        <w:rPr>
          <w:rFonts w:hint="eastAsia"/>
        </w:rPr>
        <w:t>《</w:t>
      </w:r>
      <w:r>
        <w:rPr>
          <w:rFonts w:hint="eastAsia"/>
        </w:rPr>
        <w:t>Environmental and Source Monitoring for Purposes of Radiation Protection</w:t>
      </w:r>
      <w:r>
        <w:rPr>
          <w:rFonts w:hint="eastAsia"/>
        </w:rPr>
        <w:t>》、</w:t>
      </w:r>
      <w:r>
        <w:rPr>
          <w:rFonts w:hint="eastAsia"/>
        </w:rPr>
        <w:t xml:space="preserve">IAEA Technical Reports Series No. 479 </w:t>
      </w:r>
      <w:r>
        <w:rPr>
          <w:rFonts w:hint="eastAsia"/>
        </w:rPr>
        <w:t>《</w:t>
      </w:r>
      <w:r>
        <w:rPr>
          <w:rFonts w:hint="eastAsia"/>
        </w:rPr>
        <w:t>Monitoring for Compliance with Exemption and Clearance Levels</w:t>
      </w:r>
      <w:r>
        <w:rPr>
          <w:rFonts w:hint="eastAsia"/>
        </w:rPr>
        <w:t>》、</w:t>
      </w:r>
      <w:r>
        <w:rPr>
          <w:rFonts w:hint="eastAsia"/>
        </w:rPr>
        <w:t xml:space="preserve">IAEA Nuclear Security Series No. 23-T </w:t>
      </w:r>
      <w:r>
        <w:rPr>
          <w:rFonts w:hint="eastAsia"/>
        </w:rPr>
        <w:t>《</w:t>
      </w:r>
      <w:r>
        <w:rPr>
          <w:rFonts w:hint="eastAsia"/>
        </w:rPr>
        <w:t>Detection of Radioactive Materials at Borders</w:t>
      </w:r>
      <w:r>
        <w:rPr>
          <w:rFonts w:hint="eastAsia"/>
        </w:rPr>
        <w:t>》中关于气溶胶监测的技术要求。</w:t>
      </w:r>
      <w:r>
        <w:rPr>
          <w:rFonts w:hint="eastAsia"/>
        </w:rPr>
        <w:t xml:space="preserve">ISO 18589-4:2019 </w:t>
      </w:r>
      <w:r>
        <w:rPr>
          <w:rFonts w:hint="eastAsia"/>
        </w:rPr>
        <w:t>《</w:t>
      </w:r>
      <w:r>
        <w:rPr>
          <w:rFonts w:hint="eastAsia"/>
        </w:rPr>
        <w:t xml:space="preserve">Measurement of radioactivity in the environment </w:t>
      </w:r>
      <w:r>
        <w:rPr>
          <w:rFonts w:hint="eastAsia"/>
        </w:rPr>
        <w:t>—</w:t>
      </w:r>
      <w:r>
        <w:rPr>
          <w:rFonts w:hint="eastAsia"/>
        </w:rPr>
        <w:t xml:space="preserve"> Soil </w:t>
      </w:r>
      <w:r>
        <w:rPr>
          <w:rFonts w:hint="eastAsia"/>
        </w:rPr>
        <w:t>—</w:t>
      </w:r>
      <w:r>
        <w:rPr>
          <w:rFonts w:hint="eastAsia"/>
        </w:rPr>
        <w:t xml:space="preserve"> Part 4: Measurement of plutonium isotopes (plutonium 238 and plutonium 239 + 240) by alpha spectrometry</w:t>
      </w:r>
      <w:r>
        <w:rPr>
          <w:rFonts w:hint="eastAsia"/>
        </w:rPr>
        <w:t>》。</w:t>
      </w:r>
      <w:r>
        <w:rPr>
          <w:rFonts w:hint="eastAsia"/>
        </w:rPr>
        <w:t xml:space="preserve"> </w:t>
      </w:r>
    </w:p>
    <w:p w14:paraId="22CF2073" w14:textId="77777777" w:rsidR="00304D62" w:rsidRDefault="00000000">
      <w:pPr>
        <w:ind w:firstLine="560"/>
      </w:pPr>
      <w:r>
        <w:rPr>
          <w:rFonts w:hint="eastAsia"/>
        </w:rPr>
        <w:t>起草组未采用国际标准，国际标准（如</w:t>
      </w:r>
      <w:r>
        <w:rPr>
          <w:rFonts w:hint="eastAsia"/>
        </w:rPr>
        <w:t>IAEA RS-G-1.8</w:t>
      </w:r>
      <w:r>
        <w:rPr>
          <w:rFonts w:hint="eastAsia"/>
        </w:rPr>
        <w:t>）主要针对核设施监管，而本标准只针对大气气溶胶连续监测系统。而上述标准已转化为我国已正式采标或公开获取的版本，</w:t>
      </w:r>
      <w:r>
        <w:rPr>
          <w:rFonts w:hint="eastAsia"/>
        </w:rPr>
        <w:t>ISO 18589-4:</w:t>
      </w:r>
      <w:r>
        <w:rPr>
          <w:rFonts w:hint="eastAsia"/>
        </w:rPr>
        <w:t>已转化为</w:t>
      </w:r>
      <w:r>
        <w:rPr>
          <w:rFonts w:hint="eastAsia"/>
        </w:rPr>
        <w:t>GB/T 16145</w:t>
      </w:r>
      <w:r>
        <w:rPr>
          <w:rFonts w:hint="eastAsia"/>
        </w:rPr>
        <w:t>，故本标准起草时直接采用转化后的国家标准。</w:t>
      </w:r>
    </w:p>
    <w:p w14:paraId="7F1CA5CE"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21" w:name="_Toc10702"/>
      <w:r>
        <w:rPr>
          <w:rFonts w:ascii="黑体" w:eastAsia="黑体" w:hAnsi="黑体" w:cs="黑体" w:hint="eastAsia"/>
          <w:b/>
          <w:sz w:val="32"/>
          <w:szCs w:val="32"/>
        </w:rPr>
        <w:t>与有关法律、行政法规及相关标准的关系</w:t>
      </w:r>
      <w:bookmarkEnd w:id="21"/>
    </w:p>
    <w:p w14:paraId="0911BB5D" w14:textId="77777777" w:rsidR="00304D62" w:rsidRDefault="00000000">
      <w:pPr>
        <w:ind w:firstLine="560"/>
      </w:pPr>
      <w:r>
        <w:rPr>
          <w:rFonts w:hint="eastAsia"/>
        </w:rPr>
        <w:t>本标准在《中华人民共和国环境保护法》、《中华人民共和国放射性污染防治法》、等基础上结合气溶胶连续监测系统放射性核素分析实际，结合现行的</w:t>
      </w:r>
      <w:r>
        <w:rPr>
          <w:rFonts w:hint="eastAsia"/>
        </w:rPr>
        <w:t>GB/T 16145</w:t>
      </w:r>
      <w:r>
        <w:rPr>
          <w:rFonts w:hint="eastAsia"/>
        </w:rPr>
        <w:t>、</w:t>
      </w:r>
      <w:r>
        <w:t xml:space="preserve">GB/T </w:t>
      </w:r>
      <w:r>
        <w:rPr>
          <w:rFonts w:hint="eastAsia"/>
        </w:rPr>
        <w:t>11713</w:t>
      </w:r>
      <w:r>
        <w:rPr>
          <w:rFonts w:hint="eastAsia"/>
        </w:rPr>
        <w:t>对γ能谱分析处理有相关要求，将对大气</w:t>
      </w:r>
      <w:r>
        <w:t>气溶胶</w:t>
      </w:r>
      <w:r>
        <w:rPr>
          <w:rFonts w:hint="eastAsia"/>
        </w:rPr>
        <w:t>连续监测系统起到指导作用，制定的指标及参数与现行法律、法规及强制性标准无冲突，符合相关法律法规要求。</w:t>
      </w:r>
    </w:p>
    <w:p w14:paraId="084D8514" w14:textId="77777777" w:rsidR="00304D62" w:rsidRDefault="00304D62">
      <w:pPr>
        <w:ind w:firstLine="560"/>
      </w:pPr>
    </w:p>
    <w:p w14:paraId="20F6FCC6"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22" w:name="_Toc29238"/>
      <w:r>
        <w:rPr>
          <w:rFonts w:ascii="黑体" w:eastAsia="黑体" w:hAnsi="黑体" w:cs="黑体" w:hint="eastAsia"/>
          <w:b/>
          <w:sz w:val="32"/>
          <w:szCs w:val="32"/>
        </w:rPr>
        <w:t>重大分歧意见的处理经过和依据</w:t>
      </w:r>
      <w:bookmarkEnd w:id="22"/>
    </w:p>
    <w:p w14:paraId="3E4C0DB9" w14:textId="77777777" w:rsidR="00304D62" w:rsidRDefault="00000000">
      <w:pPr>
        <w:ind w:firstLine="560"/>
        <w:rPr>
          <w:rFonts w:ascii="黑体" w:eastAsia="黑体" w:hAnsi="黑体" w:cs="黑体" w:hint="eastAsia"/>
          <w:b/>
          <w:sz w:val="32"/>
          <w:szCs w:val="32"/>
        </w:rPr>
      </w:pPr>
      <w:r>
        <w:rPr>
          <w:rFonts w:hint="eastAsia"/>
        </w:rPr>
        <w:lastRenderedPageBreak/>
        <w:t>无。</w:t>
      </w:r>
    </w:p>
    <w:p w14:paraId="06B74B3A"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23" w:name="_Toc2904"/>
      <w:r>
        <w:rPr>
          <w:rFonts w:ascii="黑体" w:eastAsia="黑体" w:hAnsi="黑体" w:cs="黑体" w:hint="eastAsia"/>
          <w:b/>
          <w:sz w:val="32"/>
          <w:szCs w:val="32"/>
        </w:rPr>
        <w:t>涉及专利的有关说明</w:t>
      </w:r>
      <w:bookmarkEnd w:id="23"/>
    </w:p>
    <w:p w14:paraId="40CD9B74" w14:textId="77777777" w:rsidR="00304D62" w:rsidRDefault="00000000">
      <w:pPr>
        <w:ind w:firstLine="560"/>
      </w:pPr>
      <w:r>
        <w:rPr>
          <w:rFonts w:hint="eastAsia"/>
        </w:rPr>
        <w:t>已申请“一种大气气溶胶放射性核素连续处理采样系统”专利。</w:t>
      </w:r>
    </w:p>
    <w:p w14:paraId="2AD19180"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24" w:name="_Toc19406"/>
      <w:r>
        <w:rPr>
          <w:rFonts w:ascii="黑体" w:eastAsia="黑体" w:hAnsi="黑体" w:cs="黑体" w:hint="eastAsia"/>
          <w:b/>
          <w:sz w:val="32"/>
          <w:szCs w:val="32"/>
        </w:rPr>
        <w:t>实施标准的要求，以及组织措施、技术措施、过渡期和实施日期的建议等措施建议</w:t>
      </w:r>
      <w:bookmarkEnd w:id="24"/>
    </w:p>
    <w:p w14:paraId="44C7A59B" w14:textId="77777777" w:rsidR="00304D62" w:rsidRDefault="00000000">
      <w:pPr>
        <w:spacing w:after="120"/>
        <w:ind w:firstLine="560"/>
        <w:rPr>
          <w:rFonts w:ascii="Helvetica" w:hAnsi="Helvetica" w:hint="eastAsia"/>
          <w:color w:val="060607"/>
          <w:spacing w:val="4"/>
          <w:sz w:val="21"/>
          <w:szCs w:val="21"/>
          <w:shd w:val="clear" w:color="auto" w:fill="FFFFFF"/>
        </w:rPr>
      </w:pPr>
      <w:r>
        <w:rPr>
          <w:rFonts w:hint="eastAsia"/>
          <w:color w:val="000000" w:themeColor="text1"/>
          <w:szCs w:val="21"/>
        </w:rPr>
        <w:t>本文件适用于自动或半自动大气气溶胶放射性核素连续监测系统样品中γ放射性核素活度浓度的测量。</w:t>
      </w:r>
      <w:r>
        <w:rPr>
          <w:color w:val="000000" w:themeColor="text1"/>
          <w:szCs w:val="21"/>
        </w:rPr>
        <w:t>规范性引用文件包括</w:t>
      </w:r>
      <w:r>
        <w:rPr>
          <w:rFonts w:ascii="Helvetica" w:hAnsi="Helvetica" w:hint="eastAsia"/>
          <w:color w:val="060607"/>
          <w:spacing w:val="4"/>
          <w:sz w:val="21"/>
          <w:szCs w:val="21"/>
          <w:shd w:val="clear" w:color="auto" w:fill="FFFFFF"/>
        </w:rPr>
        <w:t>：</w:t>
      </w:r>
    </w:p>
    <w:p w14:paraId="3A28F770" w14:textId="77777777" w:rsidR="00304D62" w:rsidRDefault="00000000">
      <w:pPr>
        <w:spacing w:after="156"/>
        <w:ind w:firstLine="560"/>
        <w:rPr>
          <w:rFonts w:eastAsia="宋体"/>
        </w:rPr>
      </w:pPr>
      <w:r>
        <w:rPr>
          <w:rFonts w:hint="eastAsia"/>
        </w:rPr>
        <w:t xml:space="preserve">GB 18871 </w:t>
      </w:r>
      <w:r>
        <w:rPr>
          <w:rFonts w:hint="eastAsia"/>
        </w:rPr>
        <w:t>电离辐射防护与辐射源安全基本标准</w:t>
      </w:r>
    </w:p>
    <w:p w14:paraId="50A94C24" w14:textId="77777777" w:rsidR="00304D62" w:rsidRDefault="00000000">
      <w:pPr>
        <w:spacing w:after="156"/>
        <w:ind w:firstLine="560"/>
        <w:rPr>
          <w:rFonts w:eastAsia="宋体"/>
        </w:rPr>
      </w:pPr>
      <w:r>
        <w:t xml:space="preserve">GB/T </w:t>
      </w:r>
      <w:r>
        <w:rPr>
          <w:rFonts w:hint="eastAsia"/>
        </w:rPr>
        <w:t xml:space="preserve">11713  </w:t>
      </w:r>
      <w:r>
        <w:rPr>
          <w:rFonts w:hint="eastAsia"/>
        </w:rPr>
        <w:t>高纯锗γ能谱分析通用方法</w:t>
      </w:r>
    </w:p>
    <w:p w14:paraId="09DAF3B9" w14:textId="77777777" w:rsidR="00304D62" w:rsidRDefault="00000000">
      <w:pPr>
        <w:spacing w:after="156"/>
        <w:ind w:firstLine="560"/>
      </w:pPr>
      <w:r>
        <w:t xml:space="preserve">GB/T </w:t>
      </w:r>
      <w:r>
        <w:rPr>
          <w:rFonts w:hint="eastAsia"/>
        </w:rPr>
        <w:t xml:space="preserve">16145   </w:t>
      </w:r>
      <w:r>
        <w:rPr>
          <w:rFonts w:hint="eastAsia"/>
        </w:rPr>
        <w:t>环境及生物样品中放射性核素的γ能谱分析方法</w:t>
      </w:r>
    </w:p>
    <w:p w14:paraId="2FC4B03D" w14:textId="77777777" w:rsidR="00304D62" w:rsidRDefault="00000000">
      <w:pPr>
        <w:spacing w:after="156"/>
        <w:ind w:firstLine="560"/>
      </w:pPr>
      <w:r>
        <w:rPr>
          <w:rFonts w:hint="eastAsia"/>
        </w:rPr>
        <w:t xml:space="preserve">HJ 61  </w:t>
      </w:r>
      <w:r>
        <w:rPr>
          <w:rFonts w:hint="eastAsia"/>
        </w:rPr>
        <w:t>辐射环境检测技术规范</w:t>
      </w:r>
    </w:p>
    <w:p w14:paraId="27A9D832" w14:textId="77777777" w:rsidR="00304D62" w:rsidRDefault="00000000">
      <w:pPr>
        <w:spacing w:after="120"/>
        <w:ind w:firstLine="560"/>
      </w:pPr>
      <w:r>
        <w:rPr>
          <w:rFonts w:hint="eastAsia"/>
        </w:rPr>
        <w:t xml:space="preserve">HJ 1149 </w:t>
      </w:r>
      <w:r>
        <w:rPr>
          <w:rFonts w:hint="eastAsia"/>
        </w:rPr>
        <w:t>环境空气气溶胶中γ放射性核素的测定滤膜压片</w:t>
      </w:r>
      <w:r>
        <w:rPr>
          <w:rFonts w:hint="eastAsia"/>
        </w:rPr>
        <w:t>/</w:t>
      </w:r>
      <w:r>
        <w:rPr>
          <w:rFonts w:hint="eastAsia"/>
        </w:rPr>
        <w:t>γ能谱法</w:t>
      </w:r>
    </w:p>
    <w:p w14:paraId="39D7CD4E" w14:textId="77777777" w:rsidR="00304D62" w:rsidRDefault="00000000">
      <w:pPr>
        <w:spacing w:after="120"/>
        <w:ind w:firstLine="560"/>
      </w:pPr>
      <w:r>
        <w:rPr>
          <w:rFonts w:hint="eastAsia"/>
          <w:color w:val="000000" w:themeColor="text1"/>
          <w:szCs w:val="21"/>
        </w:rPr>
        <w:t>在标准实施时，首先</w:t>
      </w:r>
      <w:r>
        <w:rPr>
          <w:rFonts w:hint="eastAsia"/>
        </w:rPr>
        <w:t>要配备</w:t>
      </w:r>
      <w:r>
        <w:rPr>
          <w:rFonts w:hint="eastAsia"/>
          <w:color w:val="000000" w:themeColor="text1"/>
          <w:szCs w:val="21"/>
        </w:rPr>
        <w:t>γ放射性核素</w:t>
      </w:r>
      <w:r>
        <w:rPr>
          <w:rFonts w:hint="eastAsia"/>
        </w:rPr>
        <w:t>测量系统，如γ能谱仪系统、谱分析软件、标准源、样品盒等。在进行分析前要对测量系统进行能量刻度、峰型刻度、效率刻度等质量保证措施。采集样品时应严格按照标准采样点位、采样体积和注意事项进行。</w:t>
      </w:r>
    </w:p>
    <w:p w14:paraId="26EC0CB1" w14:textId="39F9B560" w:rsidR="00304D62" w:rsidRDefault="00000000">
      <w:pPr>
        <w:ind w:firstLine="560"/>
        <w:rPr>
          <w:rFonts w:ascii="仿宋_GB2312" w:hAnsi="宋体" w:hint="eastAsia"/>
          <w:b/>
          <w:bCs/>
          <w:sz w:val="30"/>
          <w:szCs w:val="30"/>
        </w:rPr>
      </w:pPr>
      <w:r>
        <w:rPr>
          <w:rFonts w:hint="eastAsia"/>
        </w:rPr>
        <w:t>国地处大气运动的重要通道，在北半球发生的核事故、核试验释放到环境中的放射性核素随着大气运动都会对其产生影响，福岛核事故后，国际社会对核事故早期预警的时效性和空间分辨率提出更高标</w:t>
      </w:r>
      <w:r>
        <w:rPr>
          <w:rFonts w:hint="eastAsia"/>
        </w:rPr>
        <w:lastRenderedPageBreak/>
        <w:t>准，大气气溶胶连续监测系统越来越广泛应用到环境监测中来，我国而目前还未有大气气溶胶放射性核素连续监测系统的相关标准要求，尚属空白，因此本次制定的《</w:t>
      </w:r>
      <w:r w:rsidR="006E28E1">
        <w:rPr>
          <w:rFonts w:hint="eastAsia"/>
        </w:rPr>
        <w:t>气溶胶放射性核素连续测量</w:t>
      </w:r>
      <w:r w:rsidR="006E28E1">
        <w:rPr>
          <w:rFonts w:hint="eastAsia"/>
        </w:rPr>
        <w:t xml:space="preserve"> </w:t>
      </w:r>
      <w:r w:rsidR="006E28E1">
        <w:rPr>
          <w:rFonts w:hint="eastAsia"/>
        </w:rPr>
        <w:t>高纯锗γ能谱法</w:t>
      </w:r>
      <w:r>
        <w:rPr>
          <w:rFonts w:hint="eastAsia"/>
        </w:rPr>
        <w:t>》对放射性污染预警及公众放射性危害评估具有重要的意义，符合社会</w:t>
      </w:r>
      <w:r>
        <w:rPr>
          <w:rFonts w:ascii="仿宋_GB2312" w:hint="eastAsia"/>
          <w:color w:val="000000"/>
          <w:szCs w:val="28"/>
        </w:rPr>
        <w:t>需求和实际，根据此情况建议尽快批准实施本标准，希望尽快实施该标准，加大对标准的宣传、贯彻力度，推进行业的进一步发展。</w:t>
      </w:r>
    </w:p>
    <w:p w14:paraId="48AFB698" w14:textId="77777777" w:rsidR="00304D62" w:rsidRDefault="00000000">
      <w:pPr>
        <w:numPr>
          <w:ilvl w:val="0"/>
          <w:numId w:val="1"/>
        </w:numPr>
        <w:adjustRightInd w:val="0"/>
        <w:snapToGrid w:val="0"/>
        <w:ind w:firstLine="643"/>
        <w:outlineLvl w:val="0"/>
        <w:rPr>
          <w:rFonts w:ascii="黑体" w:eastAsia="黑体" w:hAnsi="黑体" w:cs="黑体" w:hint="eastAsia"/>
          <w:b/>
          <w:sz w:val="32"/>
          <w:szCs w:val="32"/>
        </w:rPr>
      </w:pPr>
      <w:bookmarkStart w:id="25" w:name="_Toc32266"/>
      <w:r>
        <w:rPr>
          <w:rFonts w:ascii="黑体" w:eastAsia="黑体" w:hAnsi="黑体" w:cs="黑体" w:hint="eastAsia"/>
          <w:b/>
          <w:sz w:val="32"/>
          <w:szCs w:val="32"/>
        </w:rPr>
        <w:t>其他应予说明的事项</w:t>
      </w:r>
      <w:bookmarkEnd w:id="25"/>
    </w:p>
    <w:p w14:paraId="17FCCC53" w14:textId="77777777" w:rsidR="00304D62" w:rsidRDefault="00000000">
      <w:pPr>
        <w:ind w:firstLine="560"/>
      </w:pPr>
      <w:r>
        <w:rPr>
          <w:rFonts w:hint="eastAsia"/>
        </w:rPr>
        <w:t>无。</w:t>
      </w:r>
    </w:p>
    <w:sectPr w:rsidR="00304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F915" w14:textId="77777777" w:rsidR="002B48D5" w:rsidRDefault="002B48D5">
      <w:pPr>
        <w:spacing w:line="240" w:lineRule="auto"/>
        <w:ind w:firstLine="560"/>
      </w:pPr>
      <w:r>
        <w:separator/>
      </w:r>
    </w:p>
  </w:endnote>
  <w:endnote w:type="continuationSeparator" w:id="0">
    <w:p w14:paraId="04DB2B44" w14:textId="77777777" w:rsidR="002B48D5" w:rsidRDefault="002B48D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8438" w14:textId="77777777" w:rsidR="002B48D5" w:rsidRDefault="002B48D5">
      <w:pPr>
        <w:ind w:firstLine="560"/>
      </w:pPr>
      <w:r>
        <w:separator/>
      </w:r>
    </w:p>
  </w:footnote>
  <w:footnote w:type="continuationSeparator" w:id="0">
    <w:p w14:paraId="583A95CE" w14:textId="77777777" w:rsidR="002B48D5" w:rsidRDefault="002B48D5">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66E034"/>
    <w:multiLevelType w:val="singleLevel"/>
    <w:tmpl w:val="C666E034"/>
    <w:lvl w:ilvl="0">
      <w:start w:val="1"/>
      <w:numFmt w:val="decimal"/>
      <w:lvlText w:val="%1."/>
      <w:lvlJc w:val="left"/>
      <w:pPr>
        <w:tabs>
          <w:tab w:val="left" w:pos="312"/>
        </w:tabs>
      </w:pPr>
    </w:lvl>
  </w:abstractNum>
  <w:abstractNum w:abstractNumId="1" w15:restartNumberingAfterBreak="0">
    <w:nsid w:val="7C1B5126"/>
    <w:multiLevelType w:val="singleLevel"/>
    <w:tmpl w:val="7C1B5126"/>
    <w:lvl w:ilvl="0">
      <w:start w:val="2"/>
      <w:numFmt w:val="chineseCounting"/>
      <w:suff w:val="nothing"/>
      <w:lvlText w:val="%1、"/>
      <w:lvlJc w:val="left"/>
      <w:rPr>
        <w:rFonts w:hint="eastAsia"/>
      </w:rPr>
    </w:lvl>
  </w:abstractNum>
  <w:num w:numId="1" w16cid:durableId="265773225">
    <w:abstractNumId w:val="1"/>
  </w:num>
  <w:num w:numId="2" w16cid:durableId="33457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2B48D5"/>
    <w:rsid w:val="00304D62"/>
    <w:rsid w:val="003C7F57"/>
    <w:rsid w:val="0048542B"/>
    <w:rsid w:val="006E28E1"/>
    <w:rsid w:val="00732C36"/>
    <w:rsid w:val="00872FF3"/>
    <w:rsid w:val="008A633F"/>
    <w:rsid w:val="00A85530"/>
    <w:rsid w:val="00AD5957"/>
    <w:rsid w:val="00BA7EAD"/>
    <w:rsid w:val="00C84A9D"/>
    <w:rsid w:val="00E91B4E"/>
    <w:rsid w:val="01366DA8"/>
    <w:rsid w:val="01984548"/>
    <w:rsid w:val="05105925"/>
    <w:rsid w:val="06024EFA"/>
    <w:rsid w:val="065355E8"/>
    <w:rsid w:val="081269AD"/>
    <w:rsid w:val="089A5142"/>
    <w:rsid w:val="0B283F8C"/>
    <w:rsid w:val="0B7C7A51"/>
    <w:rsid w:val="0BF42364"/>
    <w:rsid w:val="0C1777F5"/>
    <w:rsid w:val="12504C91"/>
    <w:rsid w:val="133E6016"/>
    <w:rsid w:val="150C743B"/>
    <w:rsid w:val="15E313C3"/>
    <w:rsid w:val="17EE11B7"/>
    <w:rsid w:val="17EE5FA9"/>
    <w:rsid w:val="1B1266E6"/>
    <w:rsid w:val="1C9755E0"/>
    <w:rsid w:val="1CD05F4F"/>
    <w:rsid w:val="1DF51F10"/>
    <w:rsid w:val="20F82A60"/>
    <w:rsid w:val="22FB3A98"/>
    <w:rsid w:val="23781E61"/>
    <w:rsid w:val="24D617A1"/>
    <w:rsid w:val="26AA5E2D"/>
    <w:rsid w:val="2A753F16"/>
    <w:rsid w:val="2C265CA6"/>
    <w:rsid w:val="2CD14E4A"/>
    <w:rsid w:val="2DC500CE"/>
    <w:rsid w:val="2E754DEF"/>
    <w:rsid w:val="2F6F59D4"/>
    <w:rsid w:val="30F60C4E"/>
    <w:rsid w:val="31FD247F"/>
    <w:rsid w:val="347A18CC"/>
    <w:rsid w:val="381C6BD2"/>
    <w:rsid w:val="39703818"/>
    <w:rsid w:val="39C36951"/>
    <w:rsid w:val="3AD9378C"/>
    <w:rsid w:val="3B456DC6"/>
    <w:rsid w:val="402839B4"/>
    <w:rsid w:val="406470E5"/>
    <w:rsid w:val="42641D3F"/>
    <w:rsid w:val="443B076C"/>
    <w:rsid w:val="443D5C7E"/>
    <w:rsid w:val="45060698"/>
    <w:rsid w:val="4A0B28AB"/>
    <w:rsid w:val="4A0B400B"/>
    <w:rsid w:val="4AC957C5"/>
    <w:rsid w:val="4ACB399F"/>
    <w:rsid w:val="4BD008A5"/>
    <w:rsid w:val="4DCA6493"/>
    <w:rsid w:val="4DFC5788"/>
    <w:rsid w:val="4F821289"/>
    <w:rsid w:val="51A727C4"/>
    <w:rsid w:val="53844F8D"/>
    <w:rsid w:val="55786810"/>
    <w:rsid w:val="57A631AC"/>
    <w:rsid w:val="584608EC"/>
    <w:rsid w:val="589906C6"/>
    <w:rsid w:val="5B7469C6"/>
    <w:rsid w:val="5E160D4B"/>
    <w:rsid w:val="5E674D54"/>
    <w:rsid w:val="5FC50FC7"/>
    <w:rsid w:val="60906C09"/>
    <w:rsid w:val="62B57E63"/>
    <w:rsid w:val="642C0536"/>
    <w:rsid w:val="64E03570"/>
    <w:rsid w:val="650C5CD4"/>
    <w:rsid w:val="66ED617B"/>
    <w:rsid w:val="67DF6DF8"/>
    <w:rsid w:val="6AF72B7A"/>
    <w:rsid w:val="6B325D87"/>
    <w:rsid w:val="6B5161A4"/>
    <w:rsid w:val="705E14C6"/>
    <w:rsid w:val="718E0B28"/>
    <w:rsid w:val="71BC6555"/>
    <w:rsid w:val="765D5772"/>
    <w:rsid w:val="76B476A6"/>
    <w:rsid w:val="778313E0"/>
    <w:rsid w:val="77B96D29"/>
    <w:rsid w:val="77C140ED"/>
    <w:rsid w:val="77DB72D8"/>
    <w:rsid w:val="7C281ABE"/>
    <w:rsid w:val="7DB12205"/>
    <w:rsid w:val="7EBB1FC6"/>
    <w:rsid w:val="7F3F2C60"/>
    <w:rsid w:val="7FEA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59236"/>
  <w15:docId w15:val="{5ABBA127-20B2-4439-9706-A50A59E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880"/>
      <w:jc w:val="both"/>
    </w:pPr>
    <w:rPr>
      <w:rFonts w:eastAsia="仿宋_GB2312"/>
      <w:kern w:val="2"/>
      <w:sz w:val="28"/>
      <w:szCs w:val="24"/>
    </w:rPr>
  </w:style>
  <w:style w:type="paragraph" w:styleId="1">
    <w:name w:val="heading 1"/>
    <w:basedOn w:val="a0"/>
    <w:next w:val="a"/>
    <w:link w:val="10"/>
    <w:qFormat/>
    <w:pPr>
      <w:keepNext/>
      <w:keepLines/>
      <w:spacing w:beforeLines="100" w:before="100" w:afterLines="100" w:after="100" w:line="240" w:lineRule="auto"/>
      <w:ind w:firstLineChars="0" w:firstLine="0"/>
      <w:jc w:val="left"/>
    </w:pPr>
    <w:rPr>
      <w:rFonts w:ascii="黑体" w:eastAsia="黑体" w:hAnsi="黑体"/>
      <w:b w:val="0"/>
      <w:kern w:val="44"/>
      <w:sz w:val="21"/>
    </w:rPr>
  </w:style>
  <w:style w:type="paragraph" w:styleId="2">
    <w:name w:val="heading 2"/>
    <w:basedOn w:val="a"/>
    <w:next w:val="a"/>
    <w:semiHidden/>
    <w:unhideWhenUsed/>
    <w:qFormat/>
    <w:pPr>
      <w:keepNext/>
      <w:keepLines/>
      <w:spacing w:beforeLines="100" w:before="100" w:afterLines="100" w:after="100" w:line="240" w:lineRule="auto"/>
      <w:ind w:firstLineChars="0" w:firstLine="0"/>
      <w:jc w:val="left"/>
      <w:outlineLvl w:val="1"/>
    </w:pPr>
    <w:rPr>
      <w:rFonts w:eastAsia="黑体"/>
    </w:rPr>
  </w:style>
  <w:style w:type="paragraph" w:styleId="3">
    <w:name w:val="heading 3"/>
    <w:basedOn w:val="a"/>
    <w:next w:val="a"/>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paragraph" w:styleId="TOC1">
    <w:name w:val="toc 1"/>
    <w:basedOn w:val="a"/>
    <w:next w:val="a"/>
    <w:qFormat/>
  </w:style>
  <w:style w:type="paragraph" w:styleId="TOC2">
    <w:name w:val="toc 2"/>
    <w:basedOn w:val="a"/>
    <w:next w:val="a"/>
    <w:qFormat/>
    <w:pPr>
      <w:ind w:leftChars="200" w:left="420"/>
    </w:pPr>
  </w:style>
  <w:style w:type="paragraph" w:styleId="a4">
    <w:name w:val="Normal (Web)"/>
    <w:basedOn w:val="a"/>
    <w:qFormat/>
    <w:pPr>
      <w:spacing w:beforeAutospacing="1" w:afterAutospacing="1"/>
      <w:jc w:val="left"/>
    </w:pPr>
    <w:rPr>
      <w:kern w:val="0"/>
      <w:sz w:val="24"/>
    </w:rPr>
  </w:style>
  <w:style w:type="character" w:styleId="a5">
    <w:name w:val="Strong"/>
    <w:basedOn w:val="a1"/>
    <w:uiPriority w:val="22"/>
    <w:qFormat/>
    <w:rPr>
      <w:b/>
    </w:rPr>
  </w:style>
  <w:style w:type="character" w:styleId="a6">
    <w:name w:val="Emphasis"/>
    <w:basedOn w:val="a1"/>
    <w:qFormat/>
    <w:rPr>
      <w:i/>
    </w:rPr>
  </w:style>
  <w:style w:type="paragraph" w:customStyle="1" w:styleId="11">
    <w:name w:val="样式1"/>
    <w:basedOn w:val="a"/>
    <w:next w:val="a"/>
    <w:qFormat/>
    <w:pPr>
      <w:keepNext/>
      <w:keepLines/>
      <w:spacing w:before="20" w:after="50"/>
      <w:outlineLvl w:val="1"/>
    </w:pPr>
    <w:rPr>
      <w:rFonts w:eastAsia="黑体" w:hint="eastAsia"/>
    </w:rPr>
  </w:style>
  <w:style w:type="character" w:customStyle="1" w:styleId="10">
    <w:name w:val="标题 1 字符"/>
    <w:link w:val="1"/>
    <w:qFormat/>
    <w:rPr>
      <w:rFonts w:ascii="黑体" w:eastAsia="黑体" w:hAnsi="黑体"/>
      <w:kern w:val="44"/>
      <w:sz w:val="21"/>
    </w:rPr>
  </w:style>
  <w:style w:type="paragraph" w:styleId="a7">
    <w:name w:val="List Paragraph"/>
    <w:basedOn w:val="a"/>
    <w:uiPriority w:val="99"/>
    <w:qFormat/>
    <w:pPr>
      <w:ind w:firstLine="420"/>
    </w:pPr>
  </w:style>
  <w:style w:type="paragraph" w:customStyle="1" w:styleId="WPSOffice2">
    <w:name w:val="WPSOffice手动目录 2"/>
    <w:qFormat/>
    <w:pPr>
      <w:ind w:leftChars="200" w:left="200"/>
    </w:p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3600</Words>
  <Characters>4320</Characters>
  <Application>Microsoft Office Word</Application>
  <DocSecurity>0</DocSecurity>
  <Lines>227</Lines>
  <Paragraphs>247</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张涵宇</dc:creator>
  <cp:lastModifiedBy>wenwen wang</cp:lastModifiedBy>
  <cp:revision>3</cp:revision>
  <cp:lastPrinted>2024-12-26T09:06:00Z</cp:lastPrinted>
  <dcterms:created xsi:type="dcterms:W3CDTF">2025-05-18T09:23:00Z</dcterms:created>
  <dcterms:modified xsi:type="dcterms:W3CDTF">2025-05-18T10:02:00Z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41DEA153B9514022B43C9E9D6478C6E3</vt:lpwstr>
  </property>
</Properties>
</file>