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AD2ED">
      <w:pPr>
        <w:jc w:val="center"/>
        <w:rPr>
          <w:rFonts w:hint="eastAsia" w:ascii="黑体" w:hAnsi="黑体" w:eastAsia="黑体" w:cs="黑体"/>
          <w:sz w:val="52"/>
          <w:szCs w:val="52"/>
        </w:rPr>
      </w:pPr>
      <w:bookmarkStart w:id="10" w:name="_GoBack"/>
      <w:bookmarkEnd w:id="10"/>
    </w:p>
    <w:p w14:paraId="7FAAA490">
      <w:pPr>
        <w:pStyle w:val="3"/>
      </w:pPr>
    </w:p>
    <w:p w14:paraId="507819AE">
      <w:pPr>
        <w:jc w:val="center"/>
        <w:rPr>
          <w:rFonts w:hint="eastAsia" w:ascii="黑体" w:hAnsi="黑体" w:eastAsia="黑体" w:cs="黑体"/>
          <w:sz w:val="52"/>
          <w:szCs w:val="52"/>
        </w:rPr>
      </w:pPr>
    </w:p>
    <w:p w14:paraId="2A7DFB4F">
      <w:pPr>
        <w:jc w:val="center"/>
        <w:rPr>
          <w:rFonts w:hint="eastAsia" w:ascii="黑体" w:hAnsi="黑体" w:eastAsia="黑体" w:cs="黑体"/>
          <w:sz w:val="52"/>
          <w:szCs w:val="52"/>
        </w:rPr>
      </w:pPr>
    </w:p>
    <w:p w14:paraId="3E1ECA09">
      <w:pPr>
        <w:ind w:firstLine="0" w:firstLineChars="0"/>
        <w:jc w:val="center"/>
        <w:rPr>
          <w:rFonts w:hint="eastAsia" w:ascii="黑体" w:hAnsi="黑体" w:eastAsia="黑体" w:cs="黑体"/>
          <w:sz w:val="48"/>
          <w:szCs w:val="48"/>
        </w:rPr>
      </w:pPr>
      <w:r>
        <w:rPr>
          <w:rFonts w:hint="eastAsia" w:ascii="黑体" w:hAnsi="黑体" w:eastAsia="黑体" w:cs="黑体"/>
          <w:sz w:val="48"/>
          <w:szCs w:val="48"/>
        </w:rPr>
        <w:t>《石化行业无组织排放</w:t>
      </w:r>
      <w:r>
        <w:rPr>
          <w:rFonts w:eastAsia="黑体" w:cs="Times New Roman"/>
          <w:sz w:val="48"/>
          <w:szCs w:val="48"/>
        </w:rPr>
        <w:t>VOCs</w:t>
      </w:r>
      <w:r>
        <w:rPr>
          <w:rFonts w:hint="eastAsia" w:ascii="黑体" w:hAnsi="黑体" w:eastAsia="黑体" w:cs="黑体"/>
          <w:sz w:val="48"/>
          <w:szCs w:val="48"/>
        </w:rPr>
        <w:t>废气收集与治理技术规范》</w:t>
      </w:r>
    </w:p>
    <w:p w14:paraId="3E3987EC">
      <w:pPr>
        <w:jc w:val="center"/>
        <w:rPr>
          <w:rFonts w:hint="eastAsia" w:ascii="黑体" w:hAnsi="黑体" w:eastAsia="黑体" w:cs="黑体"/>
          <w:sz w:val="48"/>
          <w:szCs w:val="48"/>
        </w:rPr>
      </w:pPr>
      <w:r>
        <w:rPr>
          <w:rFonts w:hint="eastAsia" w:ascii="黑体" w:hAnsi="黑体" w:eastAsia="黑体" w:cs="黑体"/>
          <w:sz w:val="48"/>
          <w:szCs w:val="48"/>
        </w:rPr>
        <w:t>编制说明</w:t>
      </w:r>
    </w:p>
    <w:p w14:paraId="16359420">
      <w:pPr>
        <w:jc w:val="center"/>
        <w:rPr>
          <w:rFonts w:hint="eastAsia" w:ascii="黑体" w:hAnsi="黑体" w:eastAsia="黑体" w:cs="黑体"/>
          <w:sz w:val="52"/>
          <w:szCs w:val="52"/>
          <w:lang w:val="en-US" w:eastAsia="zh-CN"/>
        </w:rPr>
      </w:pPr>
    </w:p>
    <w:p w14:paraId="6CE453DD">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（征求意见稿）</w:t>
      </w:r>
    </w:p>
    <w:p w14:paraId="40203B9B">
      <w:pPr>
        <w:jc w:val="center"/>
        <w:rPr>
          <w:rFonts w:hint="eastAsia" w:ascii="黑体" w:hAnsi="黑体" w:eastAsia="黑体" w:cs="黑体"/>
          <w:sz w:val="52"/>
          <w:szCs w:val="52"/>
        </w:rPr>
      </w:pPr>
    </w:p>
    <w:p w14:paraId="4B4C228E">
      <w:pPr>
        <w:pStyle w:val="2"/>
        <w:rPr>
          <w:rFonts w:hint="eastAsia"/>
        </w:rPr>
      </w:pPr>
    </w:p>
    <w:p w14:paraId="2F9B7F1A">
      <w:pPr>
        <w:jc w:val="center"/>
        <w:rPr>
          <w:rFonts w:hint="eastAsia" w:ascii="黑体" w:hAnsi="黑体" w:eastAsia="黑体" w:cs="黑体"/>
          <w:sz w:val="52"/>
          <w:szCs w:val="52"/>
        </w:rPr>
      </w:pPr>
    </w:p>
    <w:p w14:paraId="7B67E175">
      <w:pPr>
        <w:pStyle w:val="6"/>
        <w:ind w:firstLine="0" w:firstLineChars="0"/>
        <w:jc w:val="center"/>
        <w:rPr>
          <w:b w:val="0"/>
          <w:bCs/>
          <w:sz w:val="24"/>
          <w:szCs w:val="24"/>
        </w:rPr>
      </w:pPr>
      <w:r>
        <w:rPr>
          <w:rFonts w:hint="eastAsia"/>
          <w:b w:val="0"/>
          <w:bCs/>
          <w:sz w:val="24"/>
          <w:szCs w:val="24"/>
        </w:rPr>
        <w:t>《石化行业无组织排放VOCs废气收集与治理技术规范》</w:t>
      </w:r>
    </w:p>
    <w:p w14:paraId="5B413D9D">
      <w:pPr>
        <w:pStyle w:val="6"/>
        <w:ind w:firstLine="0" w:firstLineChars="0"/>
        <w:jc w:val="center"/>
        <w:rPr>
          <w:b w:val="0"/>
          <w:bCs/>
          <w:sz w:val="24"/>
          <w:szCs w:val="24"/>
        </w:rPr>
      </w:pPr>
      <w:r>
        <w:rPr>
          <w:rFonts w:hint="eastAsia"/>
          <w:b w:val="0"/>
          <w:bCs/>
          <w:sz w:val="24"/>
          <w:szCs w:val="24"/>
        </w:rPr>
        <w:t>编制组</w:t>
      </w:r>
    </w:p>
    <w:p w14:paraId="70E59077">
      <w:pPr>
        <w:pStyle w:val="6"/>
        <w:ind w:firstLine="0" w:firstLineChars="0"/>
        <w:jc w:val="center"/>
        <w:rPr>
          <w:b w:val="0"/>
          <w:bCs/>
          <w:sz w:val="24"/>
          <w:szCs w:val="24"/>
        </w:rPr>
      </w:pPr>
      <w:r>
        <w:rPr>
          <w:rFonts w:hint="eastAsia"/>
          <w:b w:val="0"/>
          <w:bCs/>
          <w:sz w:val="24"/>
          <w:szCs w:val="24"/>
        </w:rPr>
        <w:t>二〇二五年</w:t>
      </w:r>
      <w:r>
        <w:rPr>
          <w:rFonts w:hint="eastAsia"/>
          <w:b w:val="0"/>
          <w:bCs/>
          <w:sz w:val="24"/>
          <w:szCs w:val="24"/>
          <w:lang w:val="en-US" w:eastAsia="zh-CN"/>
        </w:rPr>
        <w:t>八</w:t>
      </w:r>
      <w:r>
        <w:rPr>
          <w:rFonts w:hint="eastAsia"/>
          <w:b w:val="0"/>
          <w:bCs/>
          <w:sz w:val="24"/>
          <w:szCs w:val="24"/>
        </w:rPr>
        <w:t>月</w:t>
      </w:r>
    </w:p>
    <w:p w14:paraId="31E41CAB">
      <w:pPr>
        <w:ind w:firstLine="0" w:firstLineChars="0"/>
        <w:jc w:val="both"/>
        <w:rPr>
          <w:rFonts w:hint="eastAsia" w:ascii="黑体" w:hAnsi="黑体" w:eastAsia="黑体" w:cs="黑体"/>
          <w:sz w:val="52"/>
          <w:szCs w:val="52"/>
        </w:rPr>
      </w:pPr>
    </w:p>
    <w:p w14:paraId="172C9448">
      <w:pPr>
        <w:jc w:val="center"/>
        <w:rPr>
          <w:rFonts w:hint="eastAsia" w:ascii="黑体" w:hAnsi="黑体" w:eastAsia="黑体" w:cs="黑体"/>
          <w:sz w:val="52"/>
          <w:szCs w:val="52"/>
        </w:rPr>
      </w:pPr>
    </w:p>
    <w:p w14:paraId="24413E90">
      <w:pPr>
        <w:pStyle w:val="5"/>
        <w:tabs>
          <w:tab w:val="left" w:pos="802"/>
        </w:tabs>
        <w:spacing w:before="156" w:beforeLines="50"/>
        <w:jc w:val="center"/>
        <w:rPr>
          <w:rFonts w:hint="eastAsia"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color w:val="000000" w:themeColor="text1"/>
          <w:sz w:val="36"/>
          <w:szCs w:val="36"/>
          <w14:textFill>
            <w14:solidFill>
              <w14:schemeClr w14:val="tx1"/>
            </w14:solidFill>
          </w14:textFill>
        </w:rPr>
        <w:t>目</w:t>
      </w:r>
      <w:r>
        <w:rPr>
          <w:rFonts w:asciiTheme="minorEastAsia" w:hAnsiTheme="minorEastAsia" w:eastAsiaTheme="minorEastAsia"/>
          <w:color w:val="000000" w:themeColor="text1"/>
          <w:sz w:val="36"/>
          <w:szCs w:val="36"/>
          <w14:textFill>
            <w14:solidFill>
              <w14:schemeClr w14:val="tx1"/>
            </w14:solidFill>
          </w14:textFill>
        </w:rPr>
        <w:t xml:space="preserve">  </w:t>
      </w:r>
      <w:r>
        <w:rPr>
          <w:rFonts w:hint="eastAsia" w:asciiTheme="minorEastAsia" w:hAnsiTheme="minorEastAsia" w:eastAsiaTheme="minorEastAsia"/>
          <w:color w:val="000000" w:themeColor="text1"/>
          <w:sz w:val="36"/>
          <w:szCs w:val="36"/>
          <w14:textFill>
            <w14:solidFill>
              <w14:schemeClr w14:val="tx1"/>
            </w14:solidFill>
          </w14:textFill>
        </w:rPr>
        <w:t>次</w:t>
      </w:r>
    </w:p>
    <w:p w14:paraId="7609DAD3">
      <w:pPr>
        <w:pStyle w:val="5"/>
        <w:tabs>
          <w:tab w:val="left" w:pos="802"/>
        </w:tabs>
        <w:spacing w:line="391" w:lineRule="exact"/>
        <w:ind w:left="2"/>
        <w:rPr>
          <w:color w:val="000000" w:themeColor="text1"/>
          <w14:textFill>
            <w14:solidFill>
              <w14:schemeClr w14:val="tx1"/>
            </w14:solidFill>
          </w14:textFill>
        </w:rPr>
      </w:pPr>
    </w:p>
    <w:p w14:paraId="731CB98D">
      <w:pPr>
        <w:pStyle w:val="10"/>
        <w:tabs>
          <w:tab w:val="right" w:leader="dot" w:pos="8306"/>
        </w:tabs>
        <w:ind w:left="480" w:firstLine="480"/>
      </w:pPr>
      <w:r>
        <w:rPr>
          <w:rFonts w:eastAsiaTheme="minorEastAsia"/>
          <w:color w:val="000000" w:themeColor="text1"/>
          <w14:textFill>
            <w14:solidFill>
              <w14:schemeClr w14:val="tx1"/>
            </w14:solidFill>
          </w14:textFill>
        </w:rPr>
        <w:fldChar w:fldCharType="begin"/>
      </w:r>
      <w:r>
        <w:rPr>
          <w:rFonts w:eastAsiaTheme="minorEastAsia"/>
          <w:color w:val="000000" w:themeColor="text1"/>
          <w14:textFill>
            <w14:solidFill>
              <w14:schemeClr w14:val="tx1"/>
            </w14:solidFill>
          </w14:textFill>
        </w:rPr>
        <w:instrText xml:space="preserve"> TOC \o "1-2" \h \z \u </w:instrText>
      </w:r>
      <w:r>
        <w:rPr>
          <w:rFonts w:eastAsiaTheme="minorEastAsia"/>
          <w:color w:val="000000" w:themeColor="text1"/>
          <w14:textFill>
            <w14:solidFill>
              <w14:schemeClr w14:val="tx1"/>
            </w14:solidFill>
          </w14:textFill>
        </w:rPr>
        <w:fldChar w:fldCharType="separate"/>
      </w:r>
      <w:r>
        <w:fldChar w:fldCharType="begin"/>
      </w:r>
      <w:r>
        <w:instrText xml:space="preserve"> HYPERLINK \l "_Toc10801" </w:instrText>
      </w:r>
      <w:r>
        <w:fldChar w:fldCharType="separate"/>
      </w:r>
      <w:r>
        <w:rPr>
          <w:rFonts w:hint="eastAsia"/>
        </w:rPr>
        <w:t>1  任务来源</w:t>
      </w:r>
      <w:r>
        <w:tab/>
      </w:r>
      <w:r>
        <w:fldChar w:fldCharType="begin"/>
      </w:r>
      <w:r>
        <w:instrText xml:space="preserve"> PAGEREF _Toc10801 \h </w:instrText>
      </w:r>
      <w:r>
        <w:fldChar w:fldCharType="separate"/>
      </w:r>
      <w:r>
        <w:t>3</w:t>
      </w:r>
      <w:r>
        <w:fldChar w:fldCharType="end"/>
      </w:r>
      <w:r>
        <w:fldChar w:fldCharType="end"/>
      </w:r>
    </w:p>
    <w:p w14:paraId="30073B74">
      <w:pPr>
        <w:pStyle w:val="10"/>
        <w:tabs>
          <w:tab w:val="right" w:leader="dot" w:pos="8306"/>
        </w:tabs>
        <w:ind w:left="480" w:firstLine="480"/>
      </w:pPr>
      <w:r>
        <w:fldChar w:fldCharType="begin"/>
      </w:r>
      <w:r>
        <w:instrText xml:space="preserve"> HYPERLINK \l "_Toc3013" </w:instrText>
      </w:r>
      <w:r>
        <w:fldChar w:fldCharType="separate"/>
      </w:r>
      <w:r>
        <w:t>2 标准制定必要性、编制依据、编制原则</w:t>
      </w:r>
      <w:r>
        <w:tab/>
      </w:r>
      <w:r>
        <w:fldChar w:fldCharType="begin"/>
      </w:r>
      <w:r>
        <w:instrText xml:space="preserve"> PAGEREF _Toc3013 \h </w:instrText>
      </w:r>
      <w:r>
        <w:fldChar w:fldCharType="separate"/>
      </w:r>
      <w:r>
        <w:t>3</w:t>
      </w:r>
      <w:r>
        <w:fldChar w:fldCharType="end"/>
      </w:r>
      <w:r>
        <w:fldChar w:fldCharType="end"/>
      </w:r>
    </w:p>
    <w:p w14:paraId="208093E7">
      <w:pPr>
        <w:pStyle w:val="10"/>
        <w:tabs>
          <w:tab w:val="right" w:leader="dot" w:pos="8306"/>
        </w:tabs>
        <w:ind w:left="480" w:firstLine="480"/>
      </w:pPr>
      <w:r>
        <w:fldChar w:fldCharType="begin"/>
      </w:r>
      <w:r>
        <w:instrText xml:space="preserve"> HYPERLINK \l "_Toc32161" </w:instrText>
      </w:r>
      <w:r>
        <w:fldChar w:fldCharType="separate"/>
      </w:r>
      <w:r>
        <w:t>3主要工作过程</w:t>
      </w:r>
      <w:r>
        <w:tab/>
      </w:r>
      <w:r>
        <w:fldChar w:fldCharType="begin"/>
      </w:r>
      <w:r>
        <w:instrText xml:space="preserve"> PAGEREF _Toc32161 \h </w:instrText>
      </w:r>
      <w:r>
        <w:fldChar w:fldCharType="separate"/>
      </w:r>
      <w:r>
        <w:t>5</w:t>
      </w:r>
      <w:r>
        <w:fldChar w:fldCharType="end"/>
      </w:r>
      <w:r>
        <w:fldChar w:fldCharType="end"/>
      </w:r>
    </w:p>
    <w:p w14:paraId="7FB6D8AF">
      <w:pPr>
        <w:pStyle w:val="10"/>
        <w:tabs>
          <w:tab w:val="right" w:leader="dot" w:pos="8306"/>
        </w:tabs>
        <w:ind w:left="480" w:firstLine="480"/>
      </w:pPr>
      <w:r>
        <w:fldChar w:fldCharType="begin"/>
      </w:r>
      <w:r>
        <w:instrText xml:space="preserve"> HYPERLINK \l "_Toc2744" </w:instrText>
      </w:r>
      <w:r>
        <w:fldChar w:fldCharType="separate"/>
      </w:r>
      <w:r>
        <w:t>4 相关标准概况</w:t>
      </w:r>
      <w:r>
        <w:tab/>
      </w:r>
      <w:r>
        <w:fldChar w:fldCharType="begin"/>
      </w:r>
      <w:r>
        <w:instrText xml:space="preserve"> PAGEREF _Toc2744 \h </w:instrText>
      </w:r>
      <w:r>
        <w:fldChar w:fldCharType="separate"/>
      </w:r>
      <w:r>
        <w:t>5</w:t>
      </w:r>
      <w:r>
        <w:fldChar w:fldCharType="end"/>
      </w:r>
      <w:r>
        <w:fldChar w:fldCharType="end"/>
      </w:r>
    </w:p>
    <w:p w14:paraId="24A3B4A0">
      <w:pPr>
        <w:pStyle w:val="10"/>
        <w:tabs>
          <w:tab w:val="right" w:leader="dot" w:pos="8306"/>
        </w:tabs>
        <w:ind w:left="480" w:firstLine="480"/>
      </w:pPr>
      <w:r>
        <w:fldChar w:fldCharType="begin"/>
      </w:r>
      <w:r>
        <w:instrText xml:space="preserve"> HYPERLINK \l "_Toc2080" </w:instrText>
      </w:r>
      <w:r>
        <w:fldChar w:fldCharType="separate"/>
      </w:r>
      <w:r>
        <w:rPr>
          <w:rFonts w:hint="eastAsia"/>
        </w:rPr>
        <w:t>5</w:t>
      </w:r>
      <w:r>
        <w:t xml:space="preserve"> 主要技术内容说明</w:t>
      </w:r>
      <w:r>
        <w:tab/>
      </w:r>
      <w:r>
        <w:fldChar w:fldCharType="begin"/>
      </w:r>
      <w:r>
        <w:instrText xml:space="preserve"> PAGEREF _Toc2080 \h </w:instrText>
      </w:r>
      <w:r>
        <w:fldChar w:fldCharType="separate"/>
      </w:r>
      <w:r>
        <w:t>6</w:t>
      </w:r>
      <w:r>
        <w:fldChar w:fldCharType="end"/>
      </w:r>
      <w:r>
        <w:fldChar w:fldCharType="end"/>
      </w:r>
    </w:p>
    <w:p w14:paraId="37552C20">
      <w:pPr>
        <w:pStyle w:val="10"/>
        <w:tabs>
          <w:tab w:val="right" w:leader="dot" w:pos="8306"/>
        </w:tabs>
        <w:ind w:left="480" w:firstLine="480"/>
      </w:pPr>
      <w:r>
        <w:fldChar w:fldCharType="begin"/>
      </w:r>
      <w:r>
        <w:instrText xml:space="preserve"> HYPERLINK \l "_Toc31696" </w:instrText>
      </w:r>
      <w:r>
        <w:fldChar w:fldCharType="separate"/>
      </w:r>
      <w:r>
        <w:rPr>
          <w:rFonts w:hint="eastAsia"/>
        </w:rPr>
        <w:t xml:space="preserve">6 </w:t>
      </w:r>
      <w:r>
        <w:t>标准实施的环境效益与经济技术分析</w:t>
      </w:r>
      <w:r>
        <w:tab/>
      </w:r>
      <w:r>
        <w:fldChar w:fldCharType="begin"/>
      </w:r>
      <w:r>
        <w:instrText xml:space="preserve"> PAGEREF _Toc31696 \h </w:instrText>
      </w:r>
      <w:r>
        <w:fldChar w:fldCharType="separate"/>
      </w:r>
      <w:r>
        <w:t>11</w:t>
      </w:r>
      <w:r>
        <w:fldChar w:fldCharType="end"/>
      </w:r>
      <w:r>
        <w:fldChar w:fldCharType="end"/>
      </w:r>
    </w:p>
    <w:p w14:paraId="598AA4D6">
      <w:pPr>
        <w:pStyle w:val="10"/>
        <w:tabs>
          <w:tab w:val="right" w:leader="dot" w:pos="8306"/>
        </w:tabs>
        <w:ind w:left="480" w:firstLine="480"/>
      </w:pPr>
      <w:r>
        <w:fldChar w:fldCharType="begin"/>
      </w:r>
      <w:r>
        <w:instrText xml:space="preserve"> HYPERLINK \l "_Toc3897" </w:instrText>
      </w:r>
      <w:r>
        <w:fldChar w:fldCharType="separate"/>
      </w:r>
      <w:r>
        <w:rPr>
          <w:rFonts w:hint="eastAsia"/>
        </w:rPr>
        <w:t>7</w:t>
      </w:r>
      <w:r>
        <w:t xml:space="preserve"> 标准实施建议</w:t>
      </w:r>
      <w:r>
        <w:tab/>
      </w:r>
      <w:r>
        <w:fldChar w:fldCharType="begin"/>
      </w:r>
      <w:r>
        <w:instrText xml:space="preserve"> PAGEREF _Toc3897 \h </w:instrText>
      </w:r>
      <w:r>
        <w:fldChar w:fldCharType="separate"/>
      </w:r>
      <w:r>
        <w:t>11</w:t>
      </w:r>
      <w:r>
        <w:fldChar w:fldCharType="end"/>
      </w:r>
      <w:r>
        <w:fldChar w:fldCharType="end"/>
      </w:r>
    </w:p>
    <w:p w14:paraId="36E27E15">
      <w:pPr>
        <w:ind w:firstLine="480"/>
        <w:jc w:val="center"/>
        <w:rPr>
          <w:rFonts w:eastAsiaTheme="minor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eastAsiaTheme="minorEastAsia"/>
          <w:color w:val="000000" w:themeColor="text1"/>
          <w14:textFill>
            <w14:solidFill>
              <w14:schemeClr w14:val="tx1"/>
            </w14:solidFill>
          </w14:textFill>
        </w:rPr>
        <w:fldChar w:fldCharType="end"/>
      </w:r>
    </w:p>
    <w:p w14:paraId="2A0BCB64">
      <w:pPr>
        <w:ind w:firstLine="600"/>
        <w:jc w:val="center"/>
        <w:rPr>
          <w:rFonts w:hint="eastAsia" w:ascii="黑体" w:hAnsi="黑体" w:eastAsia="黑体" w:cs="黑体"/>
          <w:sz w:val="30"/>
          <w:szCs w:val="30"/>
        </w:rPr>
      </w:pPr>
      <w:r>
        <w:rPr>
          <w:rFonts w:hint="eastAsia" w:ascii="黑体" w:hAnsi="黑体" w:eastAsia="黑体" w:cs="黑体"/>
          <w:sz w:val="30"/>
          <w:szCs w:val="30"/>
        </w:rPr>
        <w:t>《石化行业无组织排放</w:t>
      </w:r>
      <w:r>
        <w:rPr>
          <w:rFonts w:eastAsia="黑体" w:cs="Times New Roman"/>
          <w:sz w:val="30"/>
          <w:szCs w:val="30"/>
        </w:rPr>
        <w:t>VOCs</w:t>
      </w:r>
      <w:r>
        <w:rPr>
          <w:rFonts w:hint="eastAsia" w:ascii="黑体" w:hAnsi="黑体" w:eastAsia="黑体" w:cs="黑体"/>
          <w:sz w:val="30"/>
          <w:szCs w:val="30"/>
        </w:rPr>
        <w:t>废气收集与治理技术规范》</w:t>
      </w:r>
    </w:p>
    <w:p w14:paraId="2186740D">
      <w:pPr>
        <w:ind w:firstLine="600"/>
        <w:jc w:val="center"/>
        <w:rPr>
          <w:rFonts w:eastAsiaTheme="minorEastAsia"/>
          <w:color w:val="000000" w:themeColor="text1"/>
          <w:sz w:val="30"/>
          <w:szCs w:val="30"/>
          <w14:textFill>
            <w14:solidFill>
              <w14:schemeClr w14:val="tx1"/>
            </w14:solidFill>
          </w14:textFill>
        </w:rPr>
      </w:pPr>
      <w:r>
        <w:rPr>
          <w:rFonts w:hint="eastAsia" w:ascii="黑体" w:hAnsi="黑体" w:eastAsia="黑体" w:cs="黑体"/>
          <w:sz w:val="30"/>
          <w:szCs w:val="30"/>
        </w:rPr>
        <w:t>编制说明</w:t>
      </w:r>
    </w:p>
    <w:p w14:paraId="3E1EDD75">
      <w:pPr>
        <w:pStyle w:val="4"/>
        <w:spacing w:before="312" w:after="312"/>
      </w:pPr>
      <w:bookmarkStart w:id="0" w:name="_Toc10801"/>
      <w:r>
        <w:rPr>
          <w:rFonts w:hint="eastAsia"/>
        </w:rPr>
        <w:t>1  任务来源</w:t>
      </w:r>
      <w:bookmarkEnd w:id="0"/>
    </w:p>
    <w:p w14:paraId="412296F6">
      <w:pPr>
        <w:ind w:firstLine="480"/>
      </w:pPr>
      <w:r>
        <w:t xml:space="preserve">2022年，浙江工业大学牵头国家重点研发计划“非点源异味和低浓度 VOCs 污染溯源与治理关键技术研发及示范”下设课题“非点源异味和低浓度 VOCs 治理技术工程示范” </w:t>
      </w:r>
      <w:r>
        <w:rPr>
          <w:rFonts w:hint="eastAsia"/>
        </w:rPr>
        <w:t>，项目</w:t>
      </w:r>
      <w:r>
        <w:t>编号:2022YFC3702005</w:t>
      </w:r>
      <w:r>
        <w:rPr>
          <w:rFonts w:hint="eastAsia"/>
        </w:rPr>
        <w:t>。</w:t>
      </w:r>
    </w:p>
    <w:p w14:paraId="670643D1">
      <w:pPr>
        <w:ind w:firstLine="480"/>
      </w:pPr>
      <w:r>
        <w:t>以典型工业园区为研究对象，在有机耦合其他课题研究的基础上，在国家级宁波石化经济技术开发区开展工程示范，构建非点源废气收集输配系统，建立多单元集成的废气处理工程装置，制定《石化行业无组织排放VOCs废气收集与治理技术规范》。</w:t>
      </w:r>
    </w:p>
    <w:p w14:paraId="76648AB4">
      <w:pPr>
        <w:ind w:firstLine="480"/>
      </w:pPr>
      <w:r>
        <w:rPr>
          <w:rFonts w:hint="eastAsia"/>
        </w:rPr>
        <w:t>本标准</w:t>
      </w:r>
      <w:r>
        <w:t>参编单位：浙江工业大学、中华环保联合会VOCs污染防治专业委员会、南通润泽环境工程技术有限公司、中石化宁波镇海炼化有限公司、北京国环汇智环境科技有限公司。</w:t>
      </w:r>
    </w:p>
    <w:p w14:paraId="0A2A1D2C">
      <w:pPr>
        <w:pStyle w:val="4"/>
        <w:spacing w:before="312" w:after="312"/>
      </w:pPr>
      <w:bookmarkStart w:id="1" w:name="_Toc3013"/>
      <w:r>
        <w:t>2 标准制定必要性、编制依据、编制原则</w:t>
      </w:r>
      <w:bookmarkEnd w:id="1"/>
    </w:p>
    <w:p w14:paraId="0CADC52E">
      <w:pPr>
        <w:pStyle w:val="5"/>
      </w:pPr>
      <w:r>
        <w:t>2.1 标准制定必要性</w:t>
      </w:r>
    </w:p>
    <w:p w14:paraId="01721EED">
      <w:pPr>
        <w:ind w:firstLine="480"/>
      </w:pPr>
      <w:r>
        <w:t>石化生产作为工业生产重要组成，污染物排放对周边区域空气质量影响显著，特别是石化园区</w:t>
      </w:r>
      <w:r>
        <w:rPr>
          <w:rFonts w:hint="eastAsia"/>
        </w:rPr>
        <w:t>无组织</w:t>
      </w:r>
      <w:r>
        <w:t>挥发性有机物（VOCs）排放特征尤为复杂多变，更容易对环境和人体健康构成重大威胁。VOCs挥发性强，涉及行业广，产排污环节多，无组织排放特征明显。虽然大气污染防治法等对VOCs无组织排放提出密闭封闭等要求，但目前广大企业未采取有效管控措施，尤其是中小型企业管理水平差，收集效率低，逸散问题突出。</w:t>
      </w:r>
    </w:p>
    <w:p w14:paraId="121919D5">
      <w:pPr>
        <w:ind w:firstLine="480"/>
      </w:pPr>
      <w:r>
        <w:t>研究表明，我国工业VOCs排放中无组织排放占比达60%以上。目前无组织排放源高度低，污染物尚未得到充分稀释即进入呼吸带，污染物往往呈多点、分散的无规则排放，监测、定量和管理的难度大；同时缺乏对于石化行业无组织大气污染物</w:t>
      </w:r>
      <w:r>
        <w:rPr>
          <w:rFonts w:hint="eastAsia"/>
        </w:rPr>
        <w:t>收集与治理</w:t>
      </w:r>
      <w:r>
        <w:t>技术的综合性措施和要求的整理，因此，亟待制定石化行业</w:t>
      </w:r>
      <w:r>
        <w:rPr>
          <w:rFonts w:hint="eastAsia"/>
        </w:rPr>
        <w:t>无组织</w:t>
      </w:r>
      <w:r>
        <w:t>VOCs</w:t>
      </w:r>
      <w:r>
        <w:rPr>
          <w:rFonts w:hint="eastAsia"/>
        </w:rPr>
        <w:t>收集与治理</w:t>
      </w:r>
      <w:r>
        <w:t>防治技术规范，为相关行业的</w:t>
      </w:r>
      <w:r>
        <w:rPr>
          <w:rFonts w:hint="eastAsia"/>
        </w:rPr>
        <w:t>无组织</w:t>
      </w:r>
      <w:r>
        <w:t>废气处理提供技术支持。</w:t>
      </w:r>
    </w:p>
    <w:p w14:paraId="6800A88A">
      <w:pPr>
        <w:pStyle w:val="5"/>
      </w:pPr>
      <w:r>
        <w:rPr>
          <w:rFonts w:hint="eastAsia"/>
        </w:rPr>
        <w:t>2.2编制依据</w:t>
      </w:r>
    </w:p>
    <w:p w14:paraId="7C4EA942">
      <w:pPr>
        <w:ind w:firstLine="480"/>
      </w:pPr>
      <w:r>
        <w:t>（1）国家法律法规：《中华人民共和国大气污染防治法》、《国务院关于印发“十四五”节能减排综合工作方案的通知》（国发[2021]33号）、《中共中央　国务院关于深入打好污染防治攻坚战的意见》(国发[2021]32号)、国务院关于印发《空气质量持续改善行动计划》的通知（国发[2023]24号）</w:t>
      </w:r>
      <w:r>
        <w:rPr>
          <w:rFonts w:hint="eastAsia"/>
          <w:lang w:eastAsia="zh-CN"/>
        </w:rPr>
        <w:t>、《低效失效大气污染治理设施排查整治工作方案（征求意见稿）》环办便函〔2023〕400号</w:t>
      </w:r>
      <w:r>
        <w:t>等。</w:t>
      </w:r>
    </w:p>
    <w:p w14:paraId="70C03984">
      <w:pPr>
        <w:ind w:firstLine="480"/>
      </w:pPr>
      <w:r>
        <w:t>（2）石化行业无组织VOCs废气排放标准：《恶臭污染物排放标准》（GB14554-1993）、《石油化学工业污染物排放标准》（GB 31571-2015）（含 2024 年修改单）、《石油炼制工业污染物排放标准》（GB 31570-2015）（含 2024 年修改单）、《挥发性有机物无组织排放控制标准》（GB 37822-2019）等。</w:t>
      </w:r>
    </w:p>
    <w:p w14:paraId="196B7690">
      <w:pPr>
        <w:ind w:firstLine="480"/>
      </w:pPr>
      <w:r>
        <w:t>（3）废气收集技术标准：《排风罩的分类及技术条件》（GB/T 16758-2008）、《局部排风设施控制风速检测与评估技术规范》（WS/T 757-2016）、《工业建筑供暖通风与空气调节设计规范》（GB 50019-2015）等。</w:t>
      </w:r>
    </w:p>
    <w:p w14:paraId="4AB044A9">
      <w:pPr>
        <w:ind w:firstLine="480"/>
      </w:pPr>
      <w:r>
        <w:t>（4）油气回收技术标准：《油气回收处理设施技术标准》（GB 50759-2022）等。</w:t>
      </w:r>
    </w:p>
    <w:p w14:paraId="6746D2C5">
      <w:pPr>
        <w:ind w:firstLine="480"/>
      </w:pPr>
      <w:r>
        <w:t>（5）石化行业相关安全标准：《石油化工企业设计防火标准》（GB 50160-2008）、《石油气体管道阻火器》（GB/T 13347-2010）、《石油化工储运系统罐区设计规范》（SH/T 3007-2014）等。</w:t>
      </w:r>
    </w:p>
    <w:p w14:paraId="2310C56E">
      <w:pPr>
        <w:pStyle w:val="5"/>
      </w:pPr>
      <w:r>
        <w:t>2.3 编制原则</w:t>
      </w:r>
    </w:p>
    <w:p w14:paraId="5572DC16">
      <w:pPr>
        <w:ind w:firstLine="480"/>
      </w:pPr>
      <w:r>
        <w:t>（1）以国家环境保护和污染防治相关法律、法规、规章、技术政策和规划为根据，遵守国家、行业和地方标准的相关强制性要求，有利于相关法律、法规和规范的实施</w:t>
      </w:r>
      <w:r>
        <w:rPr>
          <w:rFonts w:hint="eastAsia"/>
        </w:rPr>
        <w:t>。</w:t>
      </w:r>
    </w:p>
    <w:p w14:paraId="32720AA4">
      <w:pPr>
        <w:ind w:firstLine="480"/>
      </w:pPr>
      <w:r>
        <w:t>（2）规范中所用VOCs末端治理技术须符合相关技术规范要求，宜成熟、可靠、先进、节能、经济、本质安全或安全风险可控，优先选择能够对废气中有机物质进行回收利用的技术方案。</w:t>
      </w:r>
    </w:p>
    <w:p w14:paraId="5C0EF677">
      <w:pPr>
        <w:ind w:firstLine="480"/>
      </w:pPr>
      <w:r>
        <w:t>（3）规范中石化企业VOCs收集与治理设施在设计、安装、调试、运行和维护过程中应始终贯彻“安全第一、预防为主”的原则，严格遵守相关安全技术标准、规范和规程。</w:t>
      </w:r>
    </w:p>
    <w:p w14:paraId="4512189C">
      <w:pPr>
        <w:pStyle w:val="4"/>
        <w:spacing w:before="312" w:after="312"/>
      </w:pPr>
      <w:bookmarkStart w:id="2" w:name="_Toc32161"/>
      <w:r>
        <w:t>3主要工作过程</w:t>
      </w:r>
      <w:bookmarkEnd w:id="2"/>
    </w:p>
    <w:p w14:paraId="6246E94B">
      <w:pPr>
        <w:ind w:firstLine="480"/>
      </w:pPr>
      <w:r>
        <w:t>2024年6月25日，成立了</w:t>
      </w:r>
      <w:r>
        <w:rPr>
          <w:rFonts w:hint="eastAsia"/>
        </w:rPr>
        <w:t>“</w:t>
      </w:r>
      <w:r>
        <w:t>石化行业无组织排放VOCs废气收集与治理技术规范”团体标准的编制小组</w:t>
      </w:r>
      <w:r>
        <w:rPr>
          <w:rFonts w:hint="eastAsia"/>
        </w:rPr>
        <w:t>，</w:t>
      </w:r>
      <w:r>
        <w:t>开始编制工作的前期行业调研、国内外相关技术规范资料收集及翻译等工作，查阅山东省、浙江省、江苏省、广东省等各省市对石化行业废气防治技术标准、规范以及指南。</w:t>
      </w:r>
    </w:p>
    <w:p w14:paraId="5570CD2B">
      <w:pPr>
        <w:ind w:firstLine="480"/>
      </w:pPr>
      <w:r>
        <w:rPr>
          <w:rFonts w:hint="eastAsia"/>
        </w:rPr>
        <w:t>2024年10月12日，主编单位浙江工业大学按照行业协会标准编制要求，正式向</w:t>
      </w:r>
      <w:r>
        <w:t>中华环保联合会</w:t>
      </w:r>
      <w:r>
        <w:rPr>
          <w:rFonts w:hint="eastAsia"/>
        </w:rPr>
        <w:t>提出标准编制立项申请。</w:t>
      </w:r>
    </w:p>
    <w:p w14:paraId="637BCC2D">
      <w:pPr>
        <w:ind w:firstLine="480"/>
      </w:pPr>
      <w:r>
        <w:rPr>
          <w:rFonts w:hint="eastAsia"/>
        </w:rPr>
        <w:t>2024年10月18日，</w:t>
      </w:r>
      <w:r>
        <w:t>中华环保联合会</w:t>
      </w:r>
      <w:r>
        <w:rPr>
          <w:rFonts w:hint="eastAsia"/>
        </w:rPr>
        <w:t>下达了《石化行业无组织排放VOCs废气收集与治理技术规范》标准制订计划项目的通知。</w:t>
      </w:r>
    </w:p>
    <w:p w14:paraId="4D124B1C">
      <w:pPr>
        <w:ind w:firstLine="480"/>
        <w:rPr>
          <w:rFonts w:hint="eastAsia"/>
        </w:rPr>
      </w:pPr>
      <w:r>
        <w:rPr>
          <w:rFonts w:hint="eastAsia"/>
        </w:rPr>
        <w:t>2025年4月2日，编制小组根据中华环保联合会立项申请的专家建议，完成了标准内容的初稿。</w:t>
      </w:r>
    </w:p>
    <w:p w14:paraId="29815DDC">
      <w:pPr>
        <w:ind w:firstLine="480"/>
        <w:rPr>
          <w:rFonts w:hint="eastAsia" w:eastAsia="宋体"/>
          <w:lang w:val="en-US" w:eastAsia="zh-CN"/>
        </w:rPr>
      </w:pPr>
      <w:r>
        <w:rPr>
          <w:rFonts w:hint="eastAsia"/>
          <w:lang w:val="en-US" w:eastAsia="zh-CN"/>
        </w:rPr>
        <w:t>2025年5月14日，</w:t>
      </w:r>
      <w:r>
        <w:t>中华环保联合会</w:t>
      </w:r>
      <w:r>
        <w:rPr>
          <w:rFonts w:hint="eastAsia"/>
        </w:rPr>
        <w:t>在北京召开了《石化行业无组织排放VOCs废气收集与治理技术规范》等团体标准的开题报告会及第一次标准内容的评审会议</w:t>
      </w:r>
      <w:r>
        <w:rPr>
          <w:rFonts w:hint="eastAsia"/>
          <w:lang w:eastAsia="zh-CN"/>
        </w:rPr>
        <w:t>，与会专家对标准文稿和编制说明的后续修改、完善提出了建议。</w:t>
      </w:r>
    </w:p>
    <w:p w14:paraId="126B8644">
      <w:pPr>
        <w:pStyle w:val="4"/>
        <w:spacing w:before="312" w:after="312"/>
      </w:pPr>
      <w:bookmarkStart w:id="3" w:name="_Toc2744"/>
      <w:r>
        <w:t>4 相关标准概况</w:t>
      </w:r>
      <w:bookmarkEnd w:id="3"/>
    </w:p>
    <w:p w14:paraId="420A86CA">
      <w:pPr>
        <w:ind w:firstLine="480"/>
      </w:pPr>
      <w:r>
        <w:t>针对</w:t>
      </w:r>
      <w:r>
        <w:rPr>
          <w:rFonts w:hint="eastAsia"/>
        </w:rPr>
        <w:t>无组织</w:t>
      </w:r>
      <w:r>
        <w:t>VOCs排放，国家出台了《挥发性有机物无组织排放控制标准（GB 37822-2019）》。针对石化行业污染物排放，国家出台了《石油炼制工业污染物排放标准（GB 31570-2015，含2024年修改单）》、《石油化学工业污染物排放标准（GB 31571-2015，含2024年修改单）》等标准，和一些地方排放标准（如北京市《炼油与石油化学工业大气污染物排放标准（DB 11/ 447—201）》）。针对石化行业VOCs治理技术，国家发布了《重点行业挥发性有机物（VOCs）综合治理方案》、《石化行业挥发性有机物治理实用手册》</w:t>
      </w:r>
      <w:r>
        <w:rPr>
          <w:rFonts w:hint="eastAsia"/>
        </w:rPr>
        <w:t>、</w:t>
      </w:r>
      <w:r>
        <w:t>《石油炼制工业废气治理工程技术规范（HJ 1094-2020）》</w:t>
      </w:r>
      <w:r>
        <w:rPr>
          <w:rFonts w:hint="eastAsia"/>
        </w:rPr>
        <w:t>等，地方也出台了</w:t>
      </w:r>
      <w:r>
        <w:t>。但是，至今仍没有系统的针对石化行业</w:t>
      </w:r>
      <w:r>
        <w:rPr>
          <w:rFonts w:hint="eastAsia"/>
        </w:rPr>
        <w:t>无组织</w:t>
      </w:r>
      <w:r>
        <w:t>VOCs的</w:t>
      </w:r>
      <w:r>
        <w:rPr>
          <w:rFonts w:hint="eastAsia"/>
        </w:rPr>
        <w:t>收集与治理</w:t>
      </w:r>
      <w:r>
        <w:t>技术进行整理</w:t>
      </w:r>
      <w:r>
        <w:rPr>
          <w:rFonts w:hint="eastAsia"/>
        </w:rPr>
        <w:t>总结</w:t>
      </w:r>
      <w:r>
        <w:t>。</w:t>
      </w:r>
    </w:p>
    <w:p w14:paraId="28E1D40B">
      <w:pPr>
        <w:ind w:firstLine="480"/>
      </w:pPr>
      <w:r>
        <w:t>欧盟在 1996 年公布了关于完整的防治和控制污染的指令 1996/61/EC，其中包括石油炼制行业污染物的排放标准</w:t>
      </w:r>
      <w:r>
        <w:rPr>
          <w:rFonts w:hint="eastAsia"/>
        </w:rPr>
        <w:t>。</w:t>
      </w:r>
      <w:r>
        <w:t>欧盟根据《欧洲议会和欧盟理事会关于工业排放的第 2010/75/EU号指令》确立了关于矿物油精炼废气治理的最佳可行技术及结论。</w:t>
      </w:r>
    </w:p>
    <w:p w14:paraId="7A90699B">
      <w:pPr>
        <w:ind w:firstLine="480"/>
        <w:rPr>
          <w:rFonts w:cs="Times New Roman"/>
        </w:rPr>
      </w:pPr>
      <w:r>
        <w:rPr>
          <w:rFonts w:cs="Times New Roman"/>
        </w:rPr>
        <w:t>美国针对石油炼制工业大气污染物制订了炼油装置执行标准（EPA 40 CFR-60-J）、挥发性石油液体储罐执行标准（EPA 40 CFR-60-K）、炼油厂废水系统 VOCs 排放标准（EPA 40 CFR-60-QQQ），石油炼制工业有毒有害空气污染物（HAP）排放标准（EPA 40 CFR-63-CC）等排放标准，后续出台了石</w:t>
      </w:r>
      <w:r>
        <w:rPr>
          <w:rFonts w:hint="eastAsia" w:cs="Times New Roman"/>
        </w:rPr>
        <w:t>油液体</w:t>
      </w:r>
      <w:r>
        <w:rPr>
          <w:rFonts w:cs="Times New Roman"/>
        </w:rPr>
        <w:t>储罐挥发性有机物排放控制标准（EPA-450/2-77-036）</w:t>
      </w:r>
      <w:r>
        <w:rPr>
          <w:rFonts w:hint="eastAsia" w:cs="Times New Roman"/>
        </w:rPr>
        <w:t>、（EPA-450/2-78-047）、（EPA-453/R-94-001）</w:t>
      </w:r>
      <w:r>
        <w:rPr>
          <w:rFonts w:cs="Times New Roman"/>
        </w:rPr>
        <w:t>，</w:t>
      </w:r>
      <w:r>
        <w:rPr>
          <w:rFonts w:hint="eastAsia" w:cs="Times New Roman"/>
        </w:rPr>
        <w:t>油罐车装车挥发性有机物控制（EPA-450/2-77-026）、（EPA-450/2-78-051），炼厂废水处理设施挥发性有机物控制（EPA-450/2-77-025）、（EPA-453/D-93-056）。</w:t>
      </w:r>
    </w:p>
    <w:p w14:paraId="113067AE">
      <w:pPr>
        <w:pStyle w:val="4"/>
        <w:spacing w:before="312" w:after="312"/>
      </w:pPr>
      <w:bookmarkStart w:id="4" w:name="_Toc2080"/>
      <w:r>
        <w:rPr>
          <w:rFonts w:hint="eastAsia"/>
        </w:rPr>
        <w:t>5</w:t>
      </w:r>
      <w:r>
        <w:t xml:space="preserve"> 主要技术内容说明</w:t>
      </w:r>
      <w:bookmarkEnd w:id="4"/>
    </w:p>
    <w:p w14:paraId="0906482B">
      <w:pPr>
        <w:pStyle w:val="5"/>
      </w:pPr>
      <w:r>
        <w:rPr>
          <w:rFonts w:hint="eastAsia"/>
        </w:rPr>
        <w:t>5</w:t>
      </w:r>
      <w:r>
        <w:t>.1 标准适用范围</w:t>
      </w:r>
    </w:p>
    <w:p w14:paraId="510B57D0">
      <w:pPr>
        <w:ind w:firstLine="480"/>
      </w:pPr>
      <w:r>
        <w:t>本文件规定了石油炼制和石油化学工业企业挥发性有机物无组织排放废气收集与治理技术要求。</w:t>
      </w:r>
    </w:p>
    <w:p w14:paraId="3B349743">
      <w:pPr>
        <w:ind w:firstLine="480"/>
      </w:pPr>
      <w:r>
        <w:t>本文件适用于石油炼制和石油化学工业企业生产过程中产生的无组织挥发性有机物废气收集与治理技术选择。</w:t>
      </w:r>
    </w:p>
    <w:p w14:paraId="52DA2077">
      <w:pPr>
        <w:ind w:firstLine="480"/>
      </w:pPr>
      <w:r>
        <w:rPr>
          <w:rFonts w:hint="eastAsia"/>
        </w:rPr>
        <w:t>本文件规定的无组织挥发性有机物废气包括挥发性有机液体储罐区呼吸气、挥发性有机液体装卸区逸散气、污水处理设施液面逸散气，其中挥发性有机液体装卸区逸散气为油气回收罩逸散的废气。</w:t>
      </w:r>
    </w:p>
    <w:p w14:paraId="6B9BB0DD">
      <w:pPr>
        <w:pStyle w:val="5"/>
      </w:pPr>
      <w:r>
        <w:rPr>
          <w:rFonts w:hint="eastAsia"/>
        </w:rPr>
        <w:t>5</w:t>
      </w:r>
      <w:r>
        <w:t>.2 规范性引用文件</w:t>
      </w:r>
    </w:p>
    <w:p w14:paraId="4EDD1215">
      <w:pPr>
        <w:ind w:firstLine="480"/>
      </w:pPr>
      <w:r>
        <w:t>制定本技术要求依据的是现行的国家法律法规、</w:t>
      </w:r>
      <w:r>
        <w:rPr>
          <w:rFonts w:hint="eastAsia"/>
        </w:rPr>
        <w:t>挥发性有机物排放标准、挥发性有机物废气收集与</w:t>
      </w:r>
      <w:r>
        <w:t>治理技术标准</w:t>
      </w:r>
      <w:r>
        <w:rPr>
          <w:rFonts w:hint="eastAsia"/>
        </w:rPr>
        <w:t>、规范或手册</w:t>
      </w:r>
      <w:r>
        <w:t>等。对于</w:t>
      </w:r>
      <w:r>
        <w:rPr>
          <w:rFonts w:hint="eastAsia"/>
        </w:rPr>
        <w:t>石化行业无组织挥发性有机物废气收集与治理技术设备</w:t>
      </w:r>
      <w:r>
        <w:t>的材料选用、</w:t>
      </w:r>
      <w:r>
        <w:rPr>
          <w:rFonts w:hint="eastAsia"/>
        </w:rPr>
        <w:t>设置方式</w:t>
      </w:r>
      <w:r>
        <w:t>、检验等</w:t>
      </w:r>
      <w:r>
        <w:rPr>
          <w:rFonts w:hint="eastAsia"/>
        </w:rPr>
        <w:t>安全</w:t>
      </w:r>
      <w:r>
        <w:t>方面的规定，均引用现行的国家标准及行业标准。</w:t>
      </w:r>
    </w:p>
    <w:p w14:paraId="120B9CF4">
      <w:pPr>
        <w:ind w:firstLine="480"/>
      </w:pPr>
      <w:r>
        <w:t>规范性引用文件对于本标准的应用是必不可少的。凡是注日期的引用文件，仅注日期的版本适用于本标准。凡是不注日期的引用文件，其最新版本（包括所有的修改单）适用于本标准。</w:t>
      </w:r>
    </w:p>
    <w:p w14:paraId="6290F0A4">
      <w:pPr>
        <w:pStyle w:val="5"/>
      </w:pPr>
      <w:r>
        <w:rPr>
          <w:rFonts w:hint="eastAsia"/>
        </w:rPr>
        <w:t>5</w:t>
      </w:r>
      <w:r>
        <w:t>.3 术语和定义</w:t>
      </w:r>
    </w:p>
    <w:p w14:paraId="6D6C9FAA">
      <w:pPr>
        <w:ind w:firstLine="480"/>
      </w:pPr>
      <w:r>
        <w:t>为了便于对标准条文的理解，对本标准中涉及的技术名词予以定义。对在其他法律、法规和技术规范上已经定义的术语如果适用于本标准的，在本标准中不再重新进行定义。对于有关标准和规范上没有标准定义而本标准中需要解释的则给予命名和规范。对于本标准中涉及的一些最为核心的名词，虽然在其它标准中已有定义，在本标准中也重新进行解释。一些在其它标准中已经定义，但没有完全统一的名词在本标准中重新进行了定义与说明。</w:t>
      </w:r>
    </w:p>
    <w:p w14:paraId="7B361FA9">
      <w:pPr>
        <w:pStyle w:val="5"/>
      </w:pPr>
      <w:r>
        <w:rPr>
          <w:rFonts w:hint="eastAsia"/>
        </w:rPr>
        <w:t>5.4 总体要求</w:t>
      </w:r>
    </w:p>
    <w:p w14:paraId="7A6A4CD8">
      <w:pPr>
        <w:ind w:firstLine="480"/>
      </w:pPr>
      <w:r>
        <w:rPr>
          <w:rFonts w:hint="eastAsia"/>
        </w:rPr>
        <w:t>（</w:t>
      </w:r>
      <w:r>
        <w:rPr>
          <w:rFonts w:hint="eastAsia"/>
          <w:lang w:val="en-US" w:eastAsia="zh-CN"/>
        </w:rPr>
        <w:t>1</w:t>
      </w:r>
      <w:r>
        <w:rPr>
          <w:rFonts w:hint="eastAsia"/>
        </w:rPr>
        <w:t>）</w:t>
      </w:r>
      <w:r>
        <w:t>石化企业VOCs治理技术选择要遵循</w:t>
      </w:r>
      <w:r>
        <w:rPr>
          <w:rFonts w:hint="eastAsia"/>
        </w:rPr>
        <w:t>《低效失效大气污染治理设施排查整治工作方案（征求意见稿）》</w:t>
      </w:r>
      <w:r>
        <w:t>、《石化行业挥发性有机物治理实用手册》，经过治理后的废气排放应符合GB 31570、GB 31571、GB 37822中的相关规定，治理过程严格控制二次污染。</w:t>
      </w:r>
    </w:p>
    <w:p w14:paraId="5B12FCFE">
      <w:pPr>
        <w:ind w:firstLine="480"/>
      </w:pPr>
      <w:r>
        <w:rPr>
          <w:rFonts w:hint="eastAsia"/>
        </w:rPr>
        <w:t>（</w:t>
      </w:r>
      <w:r>
        <w:rPr>
          <w:rFonts w:hint="eastAsia"/>
          <w:lang w:val="en-US" w:eastAsia="zh-CN"/>
        </w:rPr>
        <w:t>2</w:t>
      </w:r>
      <w:r>
        <w:rPr>
          <w:rFonts w:hint="eastAsia"/>
        </w:rPr>
        <w:t>）</w:t>
      </w:r>
      <w:r>
        <w:t>石化企业对于不能实现密闭的单元，根据生产工艺、操作方式以及废气性质、处理和处置方式，科学设置废气收集系统，做到“应收尽收，分质收集”，收集过程要综合考虑防腐、防火防爆、耐高温、结露、堵塞等因素。</w:t>
      </w:r>
    </w:p>
    <w:p w14:paraId="0280864D">
      <w:pPr>
        <w:ind w:firstLine="480"/>
      </w:pPr>
      <w:r>
        <w:rPr>
          <w:rFonts w:hint="eastAsia"/>
        </w:rPr>
        <w:t>（</w:t>
      </w:r>
      <w:r>
        <w:rPr>
          <w:rFonts w:hint="eastAsia"/>
          <w:lang w:val="en-US" w:eastAsia="zh-CN"/>
        </w:rPr>
        <w:t>3</w:t>
      </w:r>
      <w:r>
        <w:rPr>
          <w:rFonts w:hint="eastAsia"/>
        </w:rPr>
        <w:t>）</w:t>
      </w:r>
      <w:r>
        <w:t xml:space="preserve"> VOCs无组织排放废气收集系统排风罩（集气罩）设置应符合GB/T16758的规定，实现废气高效收集。外部排风罩应按GB/T 16758、WS/T 757规定的方法，罩口最远VOCs 无组织排放处控制风速不低于0.3 m/s。</w:t>
      </w:r>
    </w:p>
    <w:p w14:paraId="17ACEC47">
      <w:pPr>
        <w:ind w:firstLine="480"/>
      </w:pPr>
      <w:r>
        <w:rPr>
          <w:rFonts w:hint="eastAsia"/>
        </w:rPr>
        <w:t>（</w:t>
      </w:r>
      <w:r>
        <w:rPr>
          <w:rFonts w:hint="eastAsia"/>
          <w:lang w:val="en-US" w:eastAsia="zh-CN"/>
        </w:rPr>
        <w:t>4</w:t>
      </w:r>
      <w:r>
        <w:rPr>
          <w:rFonts w:hint="eastAsia"/>
        </w:rPr>
        <w:t>）</w:t>
      </w:r>
      <w:r>
        <w:t xml:space="preserve"> 无组织排放废气收集处理系统应与生产设备同步运行，废气收集处理系统发生故障或检修时，对应的生产设备应停止运行，待排除故障或检修完毕后同步投入使用；生产设备不能停止运行或不能及时停止运行的，应设置废气应急处理设施或采取其他替代措施。</w:t>
      </w:r>
    </w:p>
    <w:p w14:paraId="5FF10B07">
      <w:pPr>
        <w:ind w:firstLine="480"/>
      </w:pPr>
      <w:r>
        <w:rPr>
          <w:rFonts w:hint="eastAsia"/>
        </w:rPr>
        <w:t>（</w:t>
      </w:r>
      <w:r>
        <w:rPr>
          <w:rFonts w:hint="eastAsia"/>
          <w:lang w:val="en-US" w:eastAsia="zh-CN"/>
        </w:rPr>
        <w:t>5</w:t>
      </w:r>
      <w:r>
        <w:rPr>
          <w:rFonts w:hint="eastAsia"/>
        </w:rPr>
        <w:t>）</w:t>
      </w:r>
      <w:r>
        <w:t>VOCs末端治理技术须符合相关技术规范要求，宜成熟、可靠、先进、节能、经济、本质安全或安全风险可控，优先选择能够对废气中有机物质进行回收利用的技术方案。</w:t>
      </w:r>
    </w:p>
    <w:p w14:paraId="3D40F4F8">
      <w:pPr>
        <w:ind w:firstLine="480"/>
      </w:pPr>
      <w:r>
        <w:rPr>
          <w:rFonts w:hint="eastAsia"/>
        </w:rPr>
        <w:t>（</w:t>
      </w:r>
      <w:r>
        <w:rPr>
          <w:rFonts w:hint="eastAsia"/>
          <w:lang w:val="en-US" w:eastAsia="zh-CN"/>
        </w:rPr>
        <w:t>6</w:t>
      </w:r>
      <w:r>
        <w:rPr>
          <w:rFonts w:hint="eastAsia"/>
        </w:rPr>
        <w:t>）</w:t>
      </w:r>
      <w:r>
        <w:t>石化企业VOCs收集与治理设施在设计、安装、调试、运行和维护过程中应始终贯彻“安全第一、预防为主”的原则，严格遵守相关安全技术标准、规范和规程。</w:t>
      </w:r>
    </w:p>
    <w:p w14:paraId="00029761">
      <w:pPr>
        <w:pStyle w:val="5"/>
      </w:pPr>
      <w:r>
        <w:t>5</w:t>
      </w:r>
      <w:r>
        <w:rPr>
          <w:rFonts w:hint="eastAsia"/>
        </w:rPr>
        <w:t xml:space="preserve">.5 </w:t>
      </w:r>
      <w:r>
        <w:t>挥发性有机液体储罐区呼吸气收集治理</w:t>
      </w:r>
    </w:p>
    <w:p w14:paraId="0B5F22C9">
      <w:pPr>
        <w:ind w:firstLine="480"/>
        <w:rPr>
          <w:rFonts w:hint="eastAsia" w:eastAsia="宋体"/>
          <w:lang w:eastAsia="zh-CN"/>
        </w:rPr>
      </w:pPr>
      <w:r>
        <w:rPr>
          <w:rFonts w:hint="eastAsia"/>
          <w:lang w:eastAsia="zh-CN"/>
        </w:rPr>
        <w:t>（</w:t>
      </w:r>
      <w:r>
        <w:rPr>
          <w:rFonts w:hint="eastAsia"/>
          <w:lang w:val="en-US" w:eastAsia="zh-CN"/>
        </w:rPr>
        <w:t>1</w:t>
      </w:r>
      <w:r>
        <w:rPr>
          <w:rFonts w:hint="eastAsia"/>
          <w:lang w:eastAsia="zh-CN"/>
        </w:rPr>
        <w:t>）储罐呼吸气收集治理应符合GB/T 13347、GB 50160 、SH/T 3007 等相关规定。</w:t>
      </w:r>
    </w:p>
    <w:p w14:paraId="7E760A13">
      <w:pPr>
        <w:ind w:firstLine="480"/>
      </w:pPr>
      <w:r>
        <w:rPr>
          <w:rFonts w:hint="eastAsia"/>
        </w:rPr>
        <w:t>（</w:t>
      </w:r>
      <w:r>
        <w:rPr>
          <w:rFonts w:hint="eastAsia"/>
          <w:lang w:val="en-US" w:eastAsia="zh-CN"/>
        </w:rPr>
        <w:t>2</w:t>
      </w:r>
      <w:r>
        <w:rPr>
          <w:rFonts w:hint="eastAsia"/>
        </w:rPr>
        <w:t>）</w:t>
      </w:r>
      <w:r>
        <w:t>挥发性有机液体储罐区在罐顶设置呼吸气管道收集，其中固定顶罐和内浮顶罐采用密闭管道，外浮顶罐采用移动连接伸缩管，通过单罐单控法或气相连通共用切断阀法，将罐体大小呼吸排放的VOCs进行有效收集，排入处理设施，</w:t>
      </w:r>
      <w:r>
        <w:rPr>
          <w:rFonts w:hint="eastAsia"/>
        </w:rPr>
        <w:t>废气收集效率高于90%</w:t>
      </w:r>
      <w:r>
        <w:t>。</w:t>
      </w:r>
    </w:p>
    <w:p w14:paraId="116D70B2">
      <w:pPr>
        <w:ind w:firstLine="480"/>
      </w:pPr>
      <w:r>
        <w:rPr>
          <w:rFonts w:hint="eastAsia"/>
        </w:rPr>
        <w:t>（</w:t>
      </w:r>
      <w:r>
        <w:rPr>
          <w:rFonts w:hint="eastAsia"/>
          <w:lang w:val="en-US" w:eastAsia="zh-CN"/>
        </w:rPr>
        <w:t>3</w:t>
      </w:r>
      <w:r>
        <w:rPr>
          <w:rFonts w:hint="eastAsia"/>
        </w:rPr>
        <w:t>）</w:t>
      </w:r>
      <w:r>
        <w:t>操作温度大于 90℃的高温物料储罐、气相空间高含硫化物的储罐、与其他气体易发生化学反应的物料储罐及其他需要设置专用气相连通及 VOCs 收集系统的储罐，应设置专用的气相连通与收集系统，并单独进入油气处理设施或进行预处理消除危险因素后，再与其他储罐 VOCs 收集系统相连。</w:t>
      </w:r>
    </w:p>
    <w:p w14:paraId="5A98DDA9">
      <w:pPr>
        <w:ind w:firstLine="480"/>
        <w:rPr>
          <w:rFonts w:hint="eastAsia"/>
        </w:rPr>
      </w:pPr>
      <w:r>
        <w:rPr>
          <w:rFonts w:hint="eastAsia"/>
        </w:rPr>
        <w:t>（</w:t>
      </w:r>
      <w:r>
        <w:rPr>
          <w:rFonts w:hint="eastAsia"/>
          <w:lang w:val="en-US" w:eastAsia="zh-CN"/>
        </w:rPr>
        <w:t>4</w:t>
      </w:r>
      <w:r>
        <w:rPr>
          <w:rFonts w:hint="eastAsia"/>
        </w:rPr>
        <w:t>）除 SH/T3007 要求外，甲 B和乙A 类中间原料储罐、芳烃类储罐、轻污油储罐、酸性水罐、排放气中含有较高浓度油气和硫化物等需对进行收集治理的储罐，应设置氮气密封系统。</w:t>
      </w:r>
    </w:p>
    <w:p w14:paraId="6EDABFCB">
      <w:pPr>
        <w:ind w:firstLine="480"/>
        <w:rPr>
          <w:rFonts w:hint="eastAsia"/>
        </w:rPr>
      </w:pPr>
      <w:r>
        <w:rPr>
          <w:rFonts w:hint="eastAsia"/>
        </w:rPr>
        <w:t>（</w:t>
      </w:r>
      <w:r>
        <w:rPr>
          <w:rFonts w:hint="eastAsia"/>
          <w:lang w:val="en-US" w:eastAsia="zh-CN"/>
        </w:rPr>
        <w:t>5</w:t>
      </w:r>
      <w:r>
        <w:rPr>
          <w:rFonts w:hint="eastAsia"/>
        </w:rPr>
        <w:t>）渣油、沥青等高温储罐罐顶连通收集的高温废气，需经冷却、分离，罐顶排气在冷却前的收集管线需进行伴热处理，避免废气中重组分冷凝堵塞管道和仪表。</w:t>
      </w:r>
    </w:p>
    <w:p w14:paraId="45781E9B">
      <w:pPr>
        <w:ind w:firstLine="480"/>
        <w:rPr>
          <w:rFonts w:hint="eastAsia"/>
        </w:rPr>
      </w:pPr>
      <w:r>
        <w:rPr>
          <w:rFonts w:hint="eastAsia"/>
        </w:rPr>
        <w:t>（</w:t>
      </w:r>
      <w:r>
        <w:rPr>
          <w:rFonts w:hint="eastAsia"/>
          <w:lang w:val="en-US" w:eastAsia="zh-CN"/>
        </w:rPr>
        <w:t>6</w:t>
      </w:r>
      <w:r>
        <w:rPr>
          <w:rFonts w:hint="eastAsia"/>
        </w:rPr>
        <w:t>）对于多个罐组共用一套废气回收处理装置的工程，需建设收集总管对多个罐组的 VOCs 进行集中收集后送入处理设施，收集系统应满足同一系统内同时运行的不同介质储罐的小时最大排气量的要求。同时，应保证从储罐至组收集总管、再至厂区收集总管的压力逐步降低，防止不同介质之间VOCs 互串造成物料污染。应按照相关标准与规定，做好废气收集系统的防雷防静电设计与管理。</w:t>
      </w:r>
    </w:p>
    <w:p w14:paraId="753F2EBB">
      <w:pPr>
        <w:pStyle w:val="2"/>
        <w:rPr>
          <w:rFonts w:hint="eastAsia"/>
        </w:rPr>
      </w:pPr>
      <w:r>
        <w:rPr>
          <w:rFonts w:hint="eastAsia"/>
          <w:lang w:eastAsia="zh-CN"/>
        </w:rPr>
        <w:t>（</w:t>
      </w:r>
      <w:r>
        <w:rPr>
          <w:rFonts w:hint="eastAsia"/>
          <w:lang w:val="en-US" w:eastAsia="zh-CN"/>
        </w:rPr>
        <w:t>7</w:t>
      </w:r>
      <w:r>
        <w:rPr>
          <w:rFonts w:hint="eastAsia"/>
          <w:lang w:eastAsia="zh-CN"/>
        </w:rPr>
        <w:t>）</w:t>
      </w:r>
      <w:r>
        <w:rPr>
          <w:rFonts w:hint="eastAsia"/>
        </w:rPr>
        <w:t>收集总管应采用地上敷设，并按照一定坡度坡向VOCs治理装置，便于生成的凝液自流至管道低点，并在低点设置分液罐或者导淋阀低点排凝，防止油气由于储罐内外温差冷凝蓄积，堵塞油气通道。</w:t>
      </w:r>
    </w:p>
    <w:p w14:paraId="73AB8E99">
      <w:pPr>
        <w:pStyle w:val="2"/>
        <w:rPr>
          <w:rFonts w:hint="eastAsia"/>
          <w:lang w:eastAsia="zh-CN"/>
        </w:rPr>
      </w:pPr>
      <w:r>
        <w:rPr>
          <w:rFonts w:hint="eastAsia"/>
          <w:lang w:eastAsia="zh-CN"/>
        </w:rPr>
        <w:t>（</w:t>
      </w:r>
      <w:r>
        <w:rPr>
          <w:rFonts w:hint="eastAsia"/>
          <w:lang w:val="en-US" w:eastAsia="zh-CN"/>
        </w:rPr>
        <w:t>8</w:t>
      </w:r>
      <w:r>
        <w:rPr>
          <w:rFonts w:hint="eastAsia"/>
          <w:lang w:eastAsia="zh-CN"/>
        </w:rPr>
        <w:t>）须在气管上安装压力传感器、呼吸阀、自控阀门、阻火器、泄压阀等，支路管道设置远程控制调节阀，在工序或设备开启前开启。罐区呼吸气收集的风机需根据罐区呼吸气间歇排放特点、管道压降、气体流量等因素，采用变频风机。</w:t>
      </w:r>
    </w:p>
    <w:p w14:paraId="6614E07F">
      <w:pPr>
        <w:ind w:firstLine="480"/>
        <w:rPr>
          <w:rFonts w:hint="eastAsia"/>
        </w:rPr>
      </w:pPr>
      <w:r>
        <w:rPr>
          <w:rFonts w:hint="eastAsia"/>
        </w:rPr>
        <w:t>（</w:t>
      </w:r>
      <w:r>
        <w:rPr>
          <w:rFonts w:hint="eastAsia"/>
          <w:lang w:val="en-US" w:eastAsia="zh-CN"/>
        </w:rPr>
        <w:t>9</w:t>
      </w:r>
      <w:r>
        <w:rPr>
          <w:rFonts w:hint="eastAsia"/>
        </w:rPr>
        <w:t>）末端治理优先考虑采用冷凝（多级冷凝）、膜分离等方式，不凝性有机废气采用深度冷凝进行油气资源回收，油气回收系统的设计应满足GB/T 50759的要求。当单一技术无法满足GB 31570、GB 31571的要求时，应将回收后未达标的尾气进入活性炭吸附装置或生物装置处理，活性炭吸附装置的设计应满足HJ 2026的相关要求，生物装置的设计应满足T/CAEPI 29的相关要求。</w:t>
      </w:r>
    </w:p>
    <w:p w14:paraId="00EDB0EE">
      <w:pPr>
        <w:ind w:firstLine="480"/>
        <w:rPr>
          <w:rFonts w:hint="eastAsia"/>
        </w:rPr>
      </w:pPr>
      <w:r>
        <w:rPr>
          <w:rFonts w:hint="eastAsia"/>
        </w:rPr>
        <w:t>（</w:t>
      </w:r>
      <w:r>
        <w:rPr>
          <w:rFonts w:hint="eastAsia"/>
          <w:lang w:val="en-US" w:eastAsia="zh-CN"/>
        </w:rPr>
        <w:t>10</w:t>
      </w:r>
      <w:r>
        <w:rPr>
          <w:rFonts w:hint="eastAsia"/>
        </w:rPr>
        <w:t>）宜在油气处理装置前设置油气缓冲罐确保油气处理过程的平稳运行，缓冲罐上游总管上设置紧急切断阀、氧含量分析仪、油气爆炸下限浓度检测仪等设备。</w:t>
      </w:r>
    </w:p>
    <w:p w14:paraId="0C44F25C">
      <w:pPr>
        <w:ind w:firstLine="480"/>
        <w:rPr>
          <w:rFonts w:hint="eastAsia"/>
        </w:rPr>
      </w:pPr>
      <w:r>
        <w:rPr>
          <w:rFonts w:hint="eastAsia"/>
        </w:rPr>
        <w:t>（</w:t>
      </w:r>
      <w:r>
        <w:rPr>
          <w:rFonts w:hint="eastAsia"/>
          <w:lang w:val="en-US" w:eastAsia="zh-CN"/>
        </w:rPr>
        <w:t>11</w:t>
      </w:r>
      <w:r>
        <w:rPr>
          <w:rFonts w:hint="eastAsia"/>
        </w:rPr>
        <w:t>）用冷凝法处理三苯罐时，须对冷凝装置进行除霜处理，尾气不适用深度冷凝，应通入活性炭吸附装置处理。</w:t>
      </w:r>
    </w:p>
    <w:p w14:paraId="41FC4CC7">
      <w:pPr>
        <w:ind w:firstLine="480"/>
        <w:rPr>
          <w:rFonts w:hint="eastAsia"/>
        </w:rPr>
      </w:pPr>
      <w:r>
        <w:rPr>
          <w:rFonts w:hint="eastAsia"/>
        </w:rPr>
        <w:t>（</w:t>
      </w:r>
      <w:r>
        <w:rPr>
          <w:rFonts w:hint="eastAsia"/>
          <w:lang w:val="en-US" w:eastAsia="zh-CN"/>
        </w:rPr>
        <w:t>12</w:t>
      </w:r>
      <w:r>
        <w:rPr>
          <w:rFonts w:hint="eastAsia"/>
        </w:rPr>
        <w:t>）处理含高浓度硫VOCs气体储罐（酸性水、污油、粗柴油等）时应采取脱硫预处理，脱硫处理设施应设置在回收技术之后。</w:t>
      </w:r>
    </w:p>
    <w:p w14:paraId="4521A8E3">
      <w:pPr>
        <w:ind w:firstLine="480"/>
        <w:rPr>
          <w:rFonts w:hint="eastAsia"/>
        </w:rPr>
      </w:pPr>
      <w:r>
        <w:rPr>
          <w:rFonts w:hint="eastAsia"/>
        </w:rPr>
        <w:t>（1</w:t>
      </w:r>
      <w:r>
        <w:rPr>
          <w:rFonts w:hint="eastAsia"/>
          <w:lang w:val="en-US" w:eastAsia="zh-CN"/>
        </w:rPr>
        <w:t>3</w:t>
      </w:r>
      <w:r>
        <w:rPr>
          <w:rFonts w:hint="eastAsia"/>
        </w:rPr>
        <w:t>）进入热力分解装置（蓄热式燃烧、催化燃烧等）的油气管网，废气总管上应设置 LEL 浓度检测仪表，控制可燃物浓度降到爆炸下限的25%以下，当有机物浓度高于25%LEL时，应通过空气稀释或增加加引气量等方式进行调节，防止浓度超标的气相进入热力分解装置。热力分解装置的设计应满足HJ 1093、HJ 2027的相关要求。</w:t>
      </w:r>
    </w:p>
    <w:p w14:paraId="0E3B692D">
      <w:pPr>
        <w:ind w:firstLine="480"/>
      </w:pPr>
      <w:r>
        <w:rPr>
          <w:rFonts w:hint="eastAsia"/>
        </w:rPr>
        <w:t>根据《石油化工企业储运罐区罐顶油气连通安全技术要求（试行）》（中国石化安技〔2018〕33号）针对储罐区呼吸气的收集要求规定了内浮顶和固定顶储罐的收集方法。由于目前针对外浮顶罐废气控制仅通过设置二次密封方式进行，所以本规范添加了移动连接伸缩管来收集外浮顶罐呼吸气。为了实现废气“应收尽收”的要求，因此对废气的收集率的规定是必要的。</w:t>
      </w:r>
    </w:p>
    <w:p w14:paraId="183EA67C">
      <w:pPr>
        <w:ind w:firstLine="480"/>
      </w:pPr>
      <w:r>
        <w:rPr>
          <w:rFonts w:hint="eastAsia"/>
        </w:rPr>
        <w:t>考虑到收集系统安全性，所以对特殊物料储罐做了单独要求，同时对所有收集系统的控制阀设置、低点排凝以及风机的选型做出要求。</w:t>
      </w:r>
    </w:p>
    <w:p w14:paraId="3685B34C">
      <w:pPr>
        <w:ind w:firstLine="480"/>
      </w:pPr>
      <w:r>
        <w:rPr>
          <w:rFonts w:hint="eastAsia"/>
        </w:rPr>
        <w:t>由于储罐区呼吸气是高浓度的挥发性有机废气，所以优先考虑</w:t>
      </w:r>
      <w:r>
        <w:t>冷凝（多级冷凝）、膜分离等</w:t>
      </w:r>
      <w:r>
        <w:rPr>
          <w:rFonts w:hint="eastAsia"/>
        </w:rPr>
        <w:t>回收技术，若无回收价值的混合油气采取燃烧技术。当单一技术无法达到国家或地方标准时，可采用活性炭吸附装置或生物装置来处理治理后的低浓度尾气。</w:t>
      </w:r>
    </w:p>
    <w:p w14:paraId="423C32B1">
      <w:pPr>
        <w:ind w:firstLine="480"/>
      </w:pPr>
      <w:r>
        <w:rPr>
          <w:rFonts w:hint="eastAsia"/>
        </w:rPr>
        <w:t>为了保证治理系统的使用寿命和安全性，同样对治理设施提出一些要求，包括脱硫预处理、治理设施前的控制切断阀、油气缓冲罐、</w:t>
      </w:r>
      <w:r>
        <w:t xml:space="preserve"> LEL 浓度</w:t>
      </w:r>
      <w:r>
        <w:rPr>
          <w:rFonts w:hint="eastAsia"/>
        </w:rPr>
        <w:t>控制。</w:t>
      </w:r>
    </w:p>
    <w:p w14:paraId="1A71801A">
      <w:pPr>
        <w:pStyle w:val="5"/>
      </w:pPr>
      <w:r>
        <w:rPr>
          <w:rFonts w:hint="eastAsia"/>
        </w:rPr>
        <w:t xml:space="preserve">5.6 </w:t>
      </w:r>
      <w:r>
        <w:t>挥发性有机液体装卸区逸散气收集治理</w:t>
      </w:r>
    </w:p>
    <w:p w14:paraId="6688A415">
      <w:pPr>
        <w:ind w:firstLine="480"/>
        <w:rPr>
          <w:rFonts w:hint="eastAsia"/>
        </w:rPr>
      </w:pPr>
      <w:r>
        <w:rPr>
          <w:rFonts w:hint="eastAsia"/>
        </w:rPr>
        <w:t>（1）装卸区逸散气收集应采用固定式或移动式集气罩装置，有效收集装卸作业过程逸散的VOCs，减少无组织排放。</w:t>
      </w:r>
    </w:p>
    <w:p w14:paraId="73DB6A1E">
      <w:pPr>
        <w:ind w:firstLine="480"/>
        <w:rPr>
          <w:rFonts w:hint="eastAsia"/>
        </w:rPr>
      </w:pPr>
      <w:r>
        <w:rPr>
          <w:rFonts w:hint="eastAsia"/>
        </w:rPr>
        <w:t>（2）收集风罩设计应遵循GB/T 16758、WS/T 757的相关要求，吸气方向应尽可能与污染气流运动方向一致，防止排风罩周围气流紊乱，避免或减弱干扰气流和送风气流等对吸气气流的影响。当废气产生点较多，彼此距离较远时，应适当分设多套收集系统。</w:t>
      </w:r>
    </w:p>
    <w:p w14:paraId="2CC65FE7">
      <w:pPr>
        <w:ind w:firstLine="480"/>
        <w:rPr>
          <w:rFonts w:hint="eastAsia"/>
        </w:rPr>
      </w:pPr>
      <w:r>
        <w:rPr>
          <w:rFonts w:hint="eastAsia"/>
        </w:rPr>
        <w:t>（3）油气收集管道收气口压力应低于罐车呼吸阀的最高定压。采用泄漏检测仪对槽罐呼吸阀和密闭设施进行密闭性检测。在收集系统支路管道设置远程控制调节阀的，须在工序或设备开启前开启。</w:t>
      </w:r>
    </w:p>
    <w:p w14:paraId="382EA48D">
      <w:pPr>
        <w:pStyle w:val="2"/>
      </w:pPr>
      <w:r>
        <w:rPr>
          <w:rFonts w:hint="eastAsia"/>
        </w:rPr>
        <w:t>（4）收集总管应采用地上敷设，并按照一定坡度坡向VOCs治理装置，便于生成的凝液自流至管道低点，并在低点设置分液罐或者导淋阀低点排凝，防止油气由于储罐内外温差冷凝蓄积，堵塞油气通道。</w:t>
      </w:r>
    </w:p>
    <w:p w14:paraId="5CE2029C">
      <w:r>
        <w:rPr>
          <w:rFonts w:hint="eastAsia"/>
        </w:rPr>
        <w:t>（5）末端治理应优先考虑采用活性炭吸附、生物法（生物洗涤、生物过滤、生物滴滤）进行净化处理，处理甲醇、乙醇、环氧丙烷等易溶于水的化学品装卸油气回收逸散废气时，宜采用生物洗涤法，产生的废水排入污水处理厂进行处理，活性炭吸附装置的设计应满足HJ 2026的相关要求，生物装置的设计应满足T/CAEPI 29的相关要求</w:t>
      </w:r>
      <w:r>
        <w:t>。</w:t>
      </w:r>
    </w:p>
    <w:p w14:paraId="658B04D8">
      <w:pPr>
        <w:ind w:firstLine="480"/>
      </w:pPr>
      <w:r>
        <w:rPr>
          <w:rFonts w:hint="eastAsia"/>
        </w:rPr>
        <w:t>（6）处理含高浓度硫VOCs气体罐车（酸性水、污油、粗柴油等）的装卸废气应采取脱硫预处理，如碱洗等方式</w:t>
      </w:r>
      <w:r>
        <w:t>。</w:t>
      </w:r>
    </w:p>
    <w:p w14:paraId="2145BB12">
      <w:pPr>
        <w:ind w:firstLine="480"/>
      </w:pPr>
      <w:r>
        <w:rPr>
          <w:rFonts w:hint="eastAsia"/>
        </w:rPr>
        <w:t>（7）进入热力分解装置（蓄热式燃烧、催化燃烧等）的油气管网，废气总管上应设置 LEL 浓度检测仪表，控制可燃物浓度降到爆炸下限的25%以下，当有机物浓度高于25%LEL时，须通过空气稀释或增加引气量等方式进行调节，防止浓度超标的气相进入热力分解装置。热力分解装置的设计应满足HJ 1093、HJ 2027的相关要求</w:t>
      </w:r>
      <w:r>
        <w:t>。</w:t>
      </w:r>
    </w:p>
    <w:p w14:paraId="0B266AE6">
      <w:pPr>
        <w:ind w:firstLine="480"/>
      </w:pPr>
      <w:r>
        <w:rPr>
          <w:rFonts w:hint="eastAsia"/>
        </w:rPr>
        <w:t>（8）</w:t>
      </w:r>
      <w:r>
        <w:t>当单一技术无法满足GB 31570、GB 31571的要求时，应采取回收技术和破环技术组合的工艺。</w:t>
      </w:r>
    </w:p>
    <w:p w14:paraId="5BDFA65C">
      <w:pPr>
        <w:ind w:firstLine="480"/>
      </w:pPr>
      <w:r>
        <w:rPr>
          <w:rFonts w:hint="eastAsia"/>
        </w:rPr>
        <w:t>装卸区逸散气采用固定式或移动式集气罩装置来收集，并规定了废气收集率。</w:t>
      </w:r>
    </w:p>
    <w:p w14:paraId="2DFE0917">
      <w:pPr>
        <w:ind w:firstLine="480"/>
      </w:pPr>
      <w:r>
        <w:rPr>
          <w:rFonts w:hint="eastAsia"/>
        </w:rPr>
        <w:t>由于装卸区逸散气的浓度要远低于储罐区呼吸气的浓度，但废气产生位点却明显较多，所以进行外部罩设计时需符合《局部排风设施控制风速检测与评估技术规范》（WS/T 757）、《工业建筑供暖通风与空气调节设计规范》（GB 50019）的相关要求。</w:t>
      </w:r>
    </w:p>
    <w:p w14:paraId="05AF7FE4">
      <w:pPr>
        <w:ind w:firstLine="480"/>
      </w:pPr>
      <w:r>
        <w:rPr>
          <w:rFonts w:hint="eastAsia"/>
        </w:rPr>
        <w:t>考虑到收集系统安全性，对所有收集系统的控制阀设置、低点排凝做出要求。</w:t>
      </w:r>
    </w:p>
    <w:p w14:paraId="38C9FAB6">
      <w:pPr>
        <w:ind w:firstLine="480"/>
      </w:pPr>
      <w:r>
        <w:rPr>
          <w:rFonts w:hint="eastAsia"/>
        </w:rPr>
        <w:t>由于装卸区逸散气浓度较低，所以优先考虑</w:t>
      </w:r>
      <w:r>
        <w:t>活性炭吸附</w:t>
      </w:r>
      <w:r>
        <w:rPr>
          <w:rFonts w:hint="eastAsia"/>
        </w:rPr>
        <w:t>法和</w:t>
      </w:r>
      <w:r>
        <w:t>生物法</w:t>
      </w:r>
      <w:r>
        <w:rPr>
          <w:rFonts w:hint="eastAsia"/>
        </w:rPr>
        <w:t>进行处理，若采用燃烧法时需调节废气 LEL 浓度。</w:t>
      </w:r>
    </w:p>
    <w:p w14:paraId="37A3EA64">
      <w:pPr>
        <w:pStyle w:val="5"/>
      </w:pPr>
      <w:r>
        <w:rPr>
          <w:rFonts w:hint="eastAsia"/>
        </w:rPr>
        <w:t xml:space="preserve">5.7 </w:t>
      </w:r>
      <w:r>
        <w:t>污水处理设施液面逸散气收集治理</w:t>
      </w:r>
    </w:p>
    <w:p w14:paraId="2663C2BD">
      <w:pPr>
        <w:ind w:firstLine="480"/>
      </w:pPr>
      <w:r>
        <w:rPr>
          <w:rFonts w:hint="eastAsia"/>
        </w:rPr>
        <w:t>（1）</w:t>
      </w:r>
      <w:r>
        <w:t>集水井(池)、调节池、隔油池、气浮池、曝气池、生化池、浓缩池等污水处理池应采用密闭收集措施，密闭材料应具有防腐性能，密闭盖板应接近液面，负压收集后送后续的处理系统。</w:t>
      </w:r>
    </w:p>
    <w:p w14:paraId="5C32A047">
      <w:pPr>
        <w:ind w:firstLine="480"/>
      </w:pPr>
      <w:r>
        <w:rPr>
          <w:rFonts w:hint="eastAsia"/>
        </w:rPr>
        <w:t>（2）</w:t>
      </w:r>
      <w:r>
        <w:t>跟据臭气源构筑物的种类、构筑物池体跨度、检修方便性等因素选择最合适的加盖方式，常用的加盖方式有玻璃钢加盖、反吊膜加盖、钢化玻璃加盖等，加盖设计要求遵循GB 50014相关要求。</w:t>
      </w:r>
    </w:p>
    <w:p w14:paraId="1D3BB8E9">
      <w:pPr>
        <w:ind w:firstLine="480"/>
      </w:pPr>
      <w:r>
        <w:rPr>
          <w:rFonts w:hint="eastAsia"/>
        </w:rPr>
        <w:t>（3）</w:t>
      </w:r>
      <w:r>
        <w:t>密闭管道应采用吸气式负压收集，防止无组织臭气外泄，构筑物尺寸较大时，吸气管道应均匀的分布在构筑物内，吸气管道材质应选用耐腐蚀的玻璃钢、不锈钢、UPVC等。收集效率总体达90%以上。</w:t>
      </w:r>
    </w:p>
    <w:p w14:paraId="17317274">
      <w:pPr>
        <w:ind w:firstLine="480"/>
      </w:pPr>
      <w:r>
        <w:rPr>
          <w:rFonts w:hint="eastAsia"/>
        </w:rPr>
        <w:t>（4）</w:t>
      </w:r>
      <w:r>
        <w:t>各单元收集风量据构筑物的种类、散发臭气的水面面积、臭气空间体积等因素综合确定。风量计算依据：</w:t>
      </w:r>
    </w:p>
    <w:p w14:paraId="5F007B45">
      <w:pPr>
        <w:ind w:firstLine="480"/>
      </w:pPr>
      <w:r>
        <w:t>a）初沉池、</w:t>
      </w:r>
      <w:r>
        <w:rPr>
          <w:rFonts w:hint="eastAsia"/>
        </w:rPr>
        <w:t>污泥</w:t>
      </w:r>
      <w:r>
        <w:t>浓缩池等构筑物臭气风量按单位水面积3</w:t>
      </w:r>
      <w:r>
        <w:rPr>
          <w:rFonts w:hint="eastAsia"/>
        </w:rPr>
        <w:t xml:space="preserve"> </w:t>
      </w:r>
      <w:r>
        <w:t>m</w:t>
      </w:r>
      <w:r>
        <w:rPr>
          <w:vertAlign w:val="superscript"/>
        </w:rPr>
        <w:t>3</w:t>
      </w:r>
      <w:r>
        <w:t>/(m</w:t>
      </w:r>
      <w:r>
        <w:rPr>
          <w:vertAlign w:val="superscript"/>
        </w:rPr>
        <w:t>2</w:t>
      </w:r>
      <w:r>
        <w:t xml:space="preserve">•h)计算，增加1~2次/h的空间换气量； </w:t>
      </w:r>
    </w:p>
    <w:p w14:paraId="3085E993">
      <w:pPr>
        <w:ind w:firstLine="480"/>
      </w:pPr>
      <w:r>
        <w:t>b）曝气处理构筑物臭气风量按曝气量的110%计算。</w:t>
      </w:r>
    </w:p>
    <w:p w14:paraId="1C5E6846">
      <w:pPr>
        <w:ind w:firstLine="480"/>
      </w:pPr>
      <w:r>
        <w:t>c）</w:t>
      </w:r>
      <w:r>
        <w:rPr>
          <w:rFonts w:hint="eastAsia"/>
        </w:rPr>
        <w:t>污泥脱水机等</w:t>
      </w:r>
      <w:r>
        <w:t>封闭设备按封闭空间体积换气次数6~8次/h计；</w:t>
      </w:r>
    </w:p>
    <w:p w14:paraId="6CD2FDEC">
      <w:pPr>
        <w:ind w:firstLine="480"/>
      </w:pPr>
      <w:r>
        <w:t>d）</w:t>
      </w:r>
      <w:r>
        <w:rPr>
          <w:rFonts w:hint="eastAsia"/>
        </w:rPr>
        <w:t>涉及</w:t>
      </w:r>
      <w:r>
        <w:t>半封口机罩</w:t>
      </w:r>
      <w:r>
        <w:rPr>
          <w:rFonts w:hint="eastAsia"/>
        </w:rPr>
        <w:t>，</w:t>
      </w:r>
      <w:r>
        <w:t>按机罩开口处抽气流速为0.6m/s计。</w:t>
      </w:r>
    </w:p>
    <w:p w14:paraId="75644549">
      <w:pPr>
        <w:ind w:firstLine="480"/>
      </w:pPr>
      <w:r>
        <w:t>e）对于人员需要经常进入的处理构(建)筑物，抽气量宜按换气次数不少于6次/h计算。当人员短时进入且换气次数难以满足时，需要考虑人员进入时自然通风或临时强制通风措施。</w:t>
      </w:r>
    </w:p>
    <w:p w14:paraId="2CF535AA">
      <w:pPr>
        <w:ind w:firstLine="480"/>
      </w:pPr>
      <w:r>
        <w:rPr>
          <w:rFonts w:hint="eastAsia"/>
        </w:rPr>
        <w:t>（5）</w:t>
      </w:r>
      <w:bookmarkStart w:id="5" w:name="OLE_LINK5"/>
      <w:r>
        <w:rPr>
          <w:rFonts w:hint="eastAsia"/>
          <w:color w:val="000000" w:themeColor="text1"/>
          <w14:textFill>
            <w14:solidFill>
              <w14:schemeClr w14:val="tx1"/>
            </w14:solidFill>
          </w14:textFill>
        </w:rPr>
        <w:t>污水处理设施</w:t>
      </w:r>
      <w:bookmarkEnd w:id="5"/>
      <w:r>
        <w:rPr>
          <w:rFonts w:hint="eastAsia"/>
          <w:color w:val="000000" w:themeColor="text1"/>
          <w14:textFill>
            <w14:solidFill>
              <w14:schemeClr w14:val="tx1"/>
            </w14:solidFill>
          </w14:textFill>
        </w:rPr>
        <w:t>低浓度VOCs废气宜优先考虑采用生物法（生物过滤、生物滴滤、生物洗涤等）净化废气；当单一生物净化工艺无法满足GB 31570、GB 31571的要求时，可考虑组合</w:t>
      </w:r>
      <w:bookmarkStart w:id="6" w:name="OLE_LINK2"/>
      <w:bookmarkStart w:id="7" w:name="OLE_LINK4"/>
      <w:r>
        <w:rPr>
          <w:rFonts w:hint="eastAsia"/>
          <w:color w:val="000000" w:themeColor="text1"/>
          <w14:textFill>
            <w14:solidFill>
              <w14:schemeClr w14:val="tx1"/>
            </w14:solidFill>
          </w14:textFill>
        </w:rPr>
        <w:t>其他净化</w:t>
      </w:r>
      <w:bookmarkEnd w:id="6"/>
      <w:bookmarkEnd w:id="7"/>
      <w:r>
        <w:rPr>
          <w:rFonts w:hint="eastAsia"/>
          <w:color w:val="000000" w:themeColor="text1"/>
          <w14:textFill>
            <w14:solidFill>
              <w14:schemeClr w14:val="tx1"/>
            </w14:solidFill>
          </w14:textFill>
        </w:rPr>
        <w:t>工艺进行深度处理，以保障尾气达标排放。生物装置的设计应满足T/CAEPI 29</w:t>
      </w:r>
      <w:r>
        <w:rPr>
          <w:rFonts w:hint="eastAsia"/>
          <w:color w:val="000000" w:themeColor="text1"/>
          <w:lang w:val="en-US" w:eastAsia="zh-CN"/>
          <w14:textFill>
            <w14:solidFill>
              <w14:schemeClr w14:val="tx1"/>
            </w14:solidFill>
          </w14:textFill>
        </w:rPr>
        <w:t>-2020</w:t>
      </w:r>
      <w:r>
        <w:rPr>
          <w:rFonts w:hint="eastAsia"/>
          <w:color w:val="000000" w:themeColor="text1"/>
          <w14:textFill>
            <w14:solidFill>
              <w14:schemeClr w14:val="tx1"/>
            </w14:solidFill>
          </w14:textFill>
        </w:rPr>
        <w:t>的相关要求，其他净化工艺的设计应满足优先满足相应的规范要求</w:t>
      </w:r>
      <w:r>
        <w:t>。</w:t>
      </w:r>
    </w:p>
    <w:p w14:paraId="1A927F8A">
      <w:pPr>
        <w:pStyle w:val="2"/>
        <w:rPr>
          <w:rFonts w:hint="default" w:eastAsia="宋体"/>
          <w:lang w:val="en-US" w:eastAsia="zh-CN"/>
        </w:rPr>
      </w:pPr>
      <w:r>
        <w:rPr>
          <w:rFonts w:hint="eastAsia"/>
          <w:lang w:eastAsia="zh-CN"/>
        </w:rPr>
        <w:t>（</w:t>
      </w:r>
      <w:r>
        <w:rPr>
          <w:rFonts w:hint="eastAsia"/>
          <w:lang w:val="en-US" w:eastAsia="zh-CN"/>
        </w:rPr>
        <w:t>6</w:t>
      </w:r>
      <w:r>
        <w:rPr>
          <w:rFonts w:hint="eastAsia"/>
          <w:lang w:eastAsia="zh-CN"/>
        </w:rPr>
        <w:t>）污水处理设施高浓度VOCs废气采用热力燃烧工艺处理时，废气总管上应设置 LEL 浓度检测仪表，控制可燃物浓度降到爆炸下限的25%以下，同时废气总管上应设置甲烷传感器，控制甲烷体积浓度在1%以下。当有机物浓度及甲烷体积浓度超标时，须通过空气稀释或增加引气量等方式进行调节，防止浓度超标的气相进入燃烧装置。</w:t>
      </w:r>
    </w:p>
    <w:p w14:paraId="56188396">
      <w:pPr>
        <w:ind w:firstLine="480"/>
      </w:pPr>
      <w:r>
        <w:t>污水处理设施液面逸散气</w:t>
      </w:r>
      <w:r>
        <w:rPr>
          <w:rFonts w:hint="eastAsia"/>
        </w:rPr>
        <w:t>一般含有低浓度的含硫挥发性有机物，所以需要加盖收集废气，盖板与管道需要选择耐腐蚀的材料。根据《室外排水设计标准》（GB 50014）、《石油炼制工业废气治理工程技术规范》（HJ-1094）的要求确定计算风量、换气次数、抽气流速等。</w:t>
      </w:r>
    </w:p>
    <w:p w14:paraId="057D009D">
      <w:pPr>
        <w:ind w:firstLine="480"/>
      </w:pPr>
      <w:r>
        <w:rPr>
          <w:rFonts w:hint="eastAsia"/>
        </w:rPr>
        <w:t>污水处理设施液面逸散气无回收价值，但含有低浓度的含硫挥发性有机物，所以采用碱洗脱硫预处理后进行</w:t>
      </w:r>
      <w:r>
        <w:rPr>
          <w:rFonts w:hint="eastAsia"/>
          <w:lang w:val="en-US" w:eastAsia="zh-CN"/>
        </w:rPr>
        <w:t>净化</w:t>
      </w:r>
      <w:r>
        <w:rPr>
          <w:rFonts w:hint="eastAsia"/>
        </w:rPr>
        <w:t>处理，</w:t>
      </w:r>
      <w:r>
        <w:rPr>
          <w:rFonts w:hint="eastAsia"/>
          <w:lang w:val="en-US" w:eastAsia="zh-CN"/>
        </w:rPr>
        <w:t>其中低浓度废气采用生物法（生物过滤、生物滴滤、生物洗涤等）处理，</w:t>
      </w:r>
      <w:r>
        <w:rPr>
          <w:rFonts w:hint="eastAsia"/>
        </w:rPr>
        <w:t>当废气排放浓度不达标时考虑组合其他净化工艺进行深度处理，以保障尾气达标排放。</w:t>
      </w:r>
      <w:r>
        <w:rPr>
          <w:rFonts w:hint="eastAsia"/>
          <w:lang w:val="en-US" w:eastAsia="zh-CN"/>
        </w:rPr>
        <w:t>高浓度废气则采用热力燃烧法处理。</w:t>
      </w:r>
      <w:r>
        <w:rPr>
          <w:rFonts w:hint="eastAsia"/>
        </w:rPr>
        <w:t>该技术保证了安全、高效、低碳的理念，</w:t>
      </w:r>
      <w:r>
        <w:rPr>
          <w:rFonts w:hint="eastAsia"/>
          <w:lang w:val="en-US" w:eastAsia="zh-CN"/>
        </w:rPr>
        <w:t>针对污水处理设施不同浓度废气进行分类处理，并由于该类废气含有甲烷等易燃易爆气体，专门设置LEL 浓度检测仪表和甲烷传感器，以保证净化装置安全运行</w:t>
      </w:r>
      <w:r>
        <w:rPr>
          <w:rFonts w:hint="eastAsia"/>
        </w:rPr>
        <w:t>。</w:t>
      </w:r>
    </w:p>
    <w:p w14:paraId="278D48D3">
      <w:pPr>
        <w:pStyle w:val="4"/>
        <w:spacing w:before="312" w:after="312"/>
      </w:pPr>
      <w:bookmarkStart w:id="8" w:name="_Toc31696"/>
      <w:r>
        <w:rPr>
          <w:rFonts w:hint="eastAsia"/>
        </w:rPr>
        <w:t xml:space="preserve">6 </w:t>
      </w:r>
      <w:r>
        <w:t>标准实施的环境效益与经济技术分析</w:t>
      </w:r>
      <w:bookmarkEnd w:id="8"/>
    </w:p>
    <w:p w14:paraId="64351C4A">
      <w:pPr>
        <w:ind w:firstLine="480"/>
      </w:pPr>
      <w:r>
        <w:t>本规范的实施可促进</w:t>
      </w:r>
      <w:r>
        <w:rPr>
          <w:rFonts w:hint="eastAsia"/>
        </w:rPr>
        <w:t>石化行业无组织VOCs废气收集治理</w:t>
      </w:r>
      <w:r>
        <w:t>技术水平的提高，为废气治理达标排放提供了坚实的技术支持</w:t>
      </w:r>
      <w:r>
        <w:rPr>
          <w:rFonts w:hint="eastAsia"/>
        </w:rPr>
        <w:t>。.</w:t>
      </w:r>
    </w:p>
    <w:p w14:paraId="35D64525">
      <w:pPr>
        <w:ind w:firstLine="480"/>
      </w:pPr>
      <w:r>
        <w:rPr>
          <w:rFonts w:hint="eastAsia"/>
        </w:rPr>
        <w:t>针对储罐区高浓度废气优先采用冷凝、膜分离等回收方法，装卸区低浓度废气优先采用活性炭吸附法，污水处理设施液面低浓度采用废气生物法，尾气采用活性炭吸附等方式进行深度处理，</w:t>
      </w:r>
      <w:r>
        <w:rPr>
          <w:rFonts w:hint="eastAsia"/>
          <w:lang w:val="en-US" w:eastAsia="zh-CN"/>
        </w:rPr>
        <w:t>高浓度则采用热力燃烧法，</w:t>
      </w:r>
      <w:r>
        <w:rPr>
          <w:rFonts w:hint="eastAsia"/>
        </w:rPr>
        <w:t>最终形成安全、高效、低碳的无组织废气治理技术。</w:t>
      </w:r>
    </w:p>
    <w:p w14:paraId="31A45238">
      <w:pPr>
        <w:ind w:firstLine="480"/>
      </w:pPr>
      <w:r>
        <w:rPr>
          <w:rFonts w:hint="eastAsia"/>
        </w:rPr>
        <w:t>通过对三个无组织排放污染源废气进行分类收集，可以实现石化行业VOCs有效收集，减少无组织排放；同时，采用冷凝、膜分离等资源回收技术，可以实现VOCs有效回收，资源化利用。因此，经济和环境效益显著。</w:t>
      </w:r>
    </w:p>
    <w:p w14:paraId="253035D9">
      <w:pPr>
        <w:pStyle w:val="4"/>
        <w:spacing w:before="312" w:after="312"/>
      </w:pPr>
      <w:bookmarkStart w:id="9" w:name="_Toc3897"/>
      <w:r>
        <w:rPr>
          <w:rFonts w:hint="eastAsia"/>
        </w:rPr>
        <w:t>7</w:t>
      </w:r>
      <w:r>
        <w:t xml:space="preserve"> 标准实施建议</w:t>
      </w:r>
      <w:bookmarkEnd w:id="9"/>
    </w:p>
    <w:p w14:paraId="458E8EE3">
      <w:pPr>
        <w:ind w:firstLine="480"/>
      </w:pPr>
      <w:r>
        <w:t>在编制过程中，有关条款直接引用了现有国家标准或行业标准的内容，尽量避免重复，力求简化。内容上力求突出</w:t>
      </w:r>
      <w:r>
        <w:rPr>
          <w:rFonts w:hint="eastAsia"/>
        </w:rPr>
        <w:t>石化行业无组织排放VOCs废气</w:t>
      </w:r>
      <w:r>
        <w:t>特有</w:t>
      </w:r>
      <w:r>
        <w:rPr>
          <w:rFonts w:hint="eastAsia"/>
        </w:rPr>
        <w:t>收集与治理</w:t>
      </w:r>
      <w:r>
        <w:t>的技术要求，层次上尽量体现与各标准之间的衔接。因本标准为首次制定，实施一段时间后，根据反馈的问题和技术进步情况，进行修订完善、更新标准的内容。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F9"/>
    <w:rsid w:val="007666F9"/>
    <w:rsid w:val="00775644"/>
    <w:rsid w:val="00884AC4"/>
    <w:rsid w:val="00DB4CE3"/>
    <w:rsid w:val="00E11622"/>
    <w:rsid w:val="011D2710"/>
    <w:rsid w:val="01853E11"/>
    <w:rsid w:val="0229464B"/>
    <w:rsid w:val="03395850"/>
    <w:rsid w:val="04650D7E"/>
    <w:rsid w:val="05791EDF"/>
    <w:rsid w:val="05C649F8"/>
    <w:rsid w:val="06A0349B"/>
    <w:rsid w:val="083B16CD"/>
    <w:rsid w:val="08D538D0"/>
    <w:rsid w:val="0B5A00BC"/>
    <w:rsid w:val="0B9F6417"/>
    <w:rsid w:val="0C28640C"/>
    <w:rsid w:val="0C3E79DE"/>
    <w:rsid w:val="0C796C68"/>
    <w:rsid w:val="0D31466E"/>
    <w:rsid w:val="0DDA5FFD"/>
    <w:rsid w:val="0DE73EF7"/>
    <w:rsid w:val="0FDC19E8"/>
    <w:rsid w:val="149C69A2"/>
    <w:rsid w:val="15D078F9"/>
    <w:rsid w:val="16BC3ED7"/>
    <w:rsid w:val="16ED44DA"/>
    <w:rsid w:val="172C6BAA"/>
    <w:rsid w:val="17DA4A5F"/>
    <w:rsid w:val="186656A2"/>
    <w:rsid w:val="18720CCA"/>
    <w:rsid w:val="1A4352C5"/>
    <w:rsid w:val="1B8D2DC6"/>
    <w:rsid w:val="1C654729"/>
    <w:rsid w:val="1D0B1216"/>
    <w:rsid w:val="1ED41ADC"/>
    <w:rsid w:val="232272BA"/>
    <w:rsid w:val="2443573A"/>
    <w:rsid w:val="2A32072A"/>
    <w:rsid w:val="2B6D12EE"/>
    <w:rsid w:val="2D0A1726"/>
    <w:rsid w:val="2EC67693"/>
    <w:rsid w:val="328A3E7F"/>
    <w:rsid w:val="332C0A6E"/>
    <w:rsid w:val="34F66698"/>
    <w:rsid w:val="36541A28"/>
    <w:rsid w:val="3CB011D4"/>
    <w:rsid w:val="3E495BEB"/>
    <w:rsid w:val="3F591E5E"/>
    <w:rsid w:val="422449A5"/>
    <w:rsid w:val="490D74E1"/>
    <w:rsid w:val="497F0E11"/>
    <w:rsid w:val="4C152386"/>
    <w:rsid w:val="4DB36BDD"/>
    <w:rsid w:val="4E0538DC"/>
    <w:rsid w:val="4E736BF3"/>
    <w:rsid w:val="4E784387"/>
    <w:rsid w:val="4E9F5B72"/>
    <w:rsid w:val="4EA74993"/>
    <w:rsid w:val="50966A6E"/>
    <w:rsid w:val="52160778"/>
    <w:rsid w:val="52601B49"/>
    <w:rsid w:val="530028C4"/>
    <w:rsid w:val="54F14BBA"/>
    <w:rsid w:val="565C6063"/>
    <w:rsid w:val="57A148B5"/>
    <w:rsid w:val="57E63F62"/>
    <w:rsid w:val="59012EF2"/>
    <w:rsid w:val="59DD740C"/>
    <w:rsid w:val="5B1A473F"/>
    <w:rsid w:val="5B653C0C"/>
    <w:rsid w:val="5B797FAF"/>
    <w:rsid w:val="5F926F9A"/>
    <w:rsid w:val="60AC408B"/>
    <w:rsid w:val="632C14B3"/>
    <w:rsid w:val="64653D43"/>
    <w:rsid w:val="65E73470"/>
    <w:rsid w:val="67A4786A"/>
    <w:rsid w:val="6837248C"/>
    <w:rsid w:val="684B418A"/>
    <w:rsid w:val="685E210F"/>
    <w:rsid w:val="6911742B"/>
    <w:rsid w:val="69601EB7"/>
    <w:rsid w:val="6AB75B07"/>
    <w:rsid w:val="6DEF5A66"/>
    <w:rsid w:val="6EE13152"/>
    <w:rsid w:val="6F9F51CA"/>
    <w:rsid w:val="70D96582"/>
    <w:rsid w:val="73593B14"/>
    <w:rsid w:val="76F105F2"/>
    <w:rsid w:val="780C5B0B"/>
    <w:rsid w:val="7BE307AE"/>
    <w:rsid w:val="7C9C4B5C"/>
    <w:rsid w:val="7DA912DF"/>
    <w:rsid w:val="7F67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340" w:after="330" w:line="576" w:lineRule="auto"/>
      <w:outlineLvl w:val="0"/>
    </w:pPr>
    <w:rPr>
      <w:kern w:val="44"/>
      <w:sz w:val="52"/>
    </w:rPr>
  </w:style>
  <w:style w:type="paragraph" w:styleId="4">
    <w:name w:val="heading 2"/>
    <w:basedOn w:val="1"/>
    <w:next w:val="1"/>
    <w:unhideWhenUsed/>
    <w:qFormat/>
    <w:uiPriority w:val="0"/>
    <w:pPr>
      <w:keepNext/>
      <w:keepLines/>
      <w:spacing w:before="100" w:beforeLines="100" w:after="100" w:afterLines="100" w:line="240" w:lineRule="auto"/>
      <w:ind w:firstLine="0" w:firstLineChars="0"/>
      <w:outlineLvl w:val="1"/>
    </w:pPr>
    <w:rPr>
      <w:rFonts w:eastAsia="黑体"/>
      <w:sz w:val="28"/>
    </w:rPr>
  </w:style>
  <w:style w:type="paragraph" w:styleId="5">
    <w:name w:val="heading 3"/>
    <w:basedOn w:val="1"/>
    <w:unhideWhenUsed/>
    <w:qFormat/>
    <w:uiPriority w:val="0"/>
    <w:pPr>
      <w:keepNext/>
      <w:keepLines/>
      <w:spacing w:line="240" w:lineRule="auto"/>
      <w:ind w:firstLine="0" w:firstLineChars="0"/>
      <w:outlineLvl w:val="2"/>
    </w:pPr>
    <w:rPr>
      <w:rFonts w:eastAsia="黑体"/>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left" w:pos="440"/>
        <w:tab w:val="right" w:leader="dot" w:pos="8647"/>
      </w:tabs>
    </w:pPr>
  </w:style>
  <w:style w:type="paragraph" w:styleId="10">
    <w:name w:val="toc 2"/>
    <w:basedOn w:val="1"/>
    <w:next w:val="1"/>
    <w:qFormat/>
    <w:uiPriority w:val="0"/>
    <w:pPr>
      <w:ind w:left="420" w:leftChars="200"/>
    </w:pPr>
  </w:style>
  <w:style w:type="character" w:styleId="13">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7784</Words>
  <Characters>8609</Characters>
  <Lines>160</Lines>
  <Paragraphs>112</Paragraphs>
  <TotalTime>12</TotalTime>
  <ScaleCrop>false</ScaleCrop>
  <LinksUpToDate>false</LinksUpToDate>
  <CharactersWithSpaces>8742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2025-04-11T02:14:00Z</dcterms:created>
  <dc:creator>Admin</dc:creator>
  <cp:lastModifiedBy>夏天</cp:lastModifiedBy>
  <dcterms:modified xsi:type="dcterms:W3CDTF">2025-08-12T01:24:48Z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eyJoZGlkIjoiZTZmZmYyNDVlYTA0NjE3OTE2NjY2NTRlN2Y4NjNlZmIiLCJ1c2VySWQiOiIzMzk1Mzk0NjgifQ==</vt:lpwstr>
  </property>
  <property fmtid="{D5CDD505-2E9C-101B-9397-08002B2CF9AE}" pid="4" name="ICV">
    <vt:lpwstr>14C094D602F948DEB60438D4BACC176F_13</vt:lpwstr>
  </property>
</Properties>
</file>