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5465">
      <w:bookmarkStart w:id="0" w:name="OLE_LINK4"/>
      <w:bookmarkStart w:id="1" w:name="OLE_LINK3"/>
      <w:bookmarkStart w:id="2" w:name="OLE_LINK5"/>
      <w:r>
        <w:t>ICS 13.020.01</w:t>
      </w:r>
    </w:p>
    <w:p w14:paraId="4F2755C2">
      <w:r>
        <w:rPr>
          <w:rFonts w:hint="eastAsia"/>
        </w:rPr>
        <w:t>CSS Z 10</w:t>
      </w:r>
    </w:p>
    <w:p w14:paraId="5593701A">
      <w:bookmarkStart w:id="103" w:name="_GoBack"/>
      <w:bookmarkEnd w:id="103"/>
    </w:p>
    <w:p w14:paraId="05AA9201"/>
    <w:p w14:paraId="7BAFD9A5"/>
    <w:p w14:paraId="243D925E">
      <w:pPr>
        <w:jc w:val="distribute"/>
        <w:rPr>
          <w:rFonts w:hint="eastAsia" w:ascii="华文中宋" w:hAnsi="华文中宋" w:eastAsia="华文中宋" w:cs="华文中宋"/>
          <w:b/>
          <w:bCs/>
          <w:sz w:val="84"/>
          <w:szCs w:val="84"/>
        </w:rPr>
      </w:pPr>
      <w:r>
        <w:rPr>
          <w:rFonts w:hint="eastAsia" w:ascii="华文中宋" w:hAnsi="华文中宋" w:eastAsia="华文中宋" w:cs="华文中宋"/>
          <w:b/>
          <w:bCs/>
          <w:sz w:val="84"/>
          <w:szCs w:val="84"/>
        </w:rPr>
        <w:t>团体标准</w:t>
      </w:r>
    </w:p>
    <w:p w14:paraId="6924EAB3"/>
    <w:p w14:paraId="484CCAF7">
      <w:pPr>
        <w:jc w:val="right"/>
        <w:rPr>
          <w:sz w:val="28"/>
          <w:szCs w:val="28"/>
        </w:rPr>
      </w:pPr>
      <w:r>
        <w:rPr>
          <w:sz w:val="28"/>
          <w:szCs w:val="28"/>
        </w:rPr>
        <w:t xml:space="preserve">T/ACEF </w:t>
      </w:r>
      <w:r>
        <w:rPr>
          <w:rFonts w:hint="eastAsia"/>
          <w:sz w:val="28"/>
          <w:szCs w:val="28"/>
        </w:rPr>
        <w:t>×××</w:t>
      </w:r>
      <w:r>
        <w:rPr>
          <w:rFonts w:eastAsia="黑体"/>
          <w:sz w:val="28"/>
          <w:szCs w:val="28"/>
        </w:rPr>
        <w:t>—20</w:t>
      </w:r>
      <w:r>
        <w:rPr>
          <w:rFonts w:hint="eastAsia"/>
          <w:sz w:val="28"/>
          <w:szCs w:val="28"/>
        </w:rPr>
        <w:t>××</w:t>
      </w:r>
    </w:p>
    <w:p w14:paraId="45133BD3">
      <w:pPr>
        <w:jc w:val="right"/>
      </w:pPr>
      <w:r>
        <w:rPr>
          <w:szCs w:val="21"/>
        </w:rPr>
        <mc:AlternateContent>
          <mc:Choice Requires="wps">
            <w:drawing>
              <wp:inline distT="0" distB="0" distL="0" distR="0">
                <wp:extent cx="6120130" cy="635"/>
                <wp:effectExtent l="13970" t="7620" r="9525" b="11430"/>
                <wp:docPr id="686482802"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15"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JDTB0gAAAAIBAAAPAAAAAAAAAAEAIAAAACIAAABkcnMv&#10;ZG93bnJldi54bWxQSwECFAAUAAAACACHTuJA1TEadtABAACoAwAADgAAAAAAAAABACAAAAAhAQAA&#10;ZHJzL2Uyb0RvYy54bWxQSwUGAAAAAAYABgBZAQAAYwUAAAAA&#10;">
                <v:fill on="f" focussize="0,0"/>
                <v:stroke color="#000000" joinstyle="round"/>
                <v:imagedata o:title=""/>
                <o:lock v:ext="edit" aspectratio="f"/>
                <w10:wrap type="none"/>
                <w10:anchorlock/>
              </v:line>
            </w:pict>
          </mc:Fallback>
        </mc:AlternateContent>
      </w:r>
    </w:p>
    <w:p w14:paraId="0DEADC2E"/>
    <w:p w14:paraId="060D91FA"/>
    <w:p w14:paraId="51A5DF50">
      <w:pPr>
        <w:spacing w:before="1701"/>
        <w:jc w:val="center"/>
        <w:rPr>
          <w:rFonts w:hint="eastAsia" w:ascii="黑体" w:hAnsi="黑体" w:eastAsia="黑体" w:cs="黑体"/>
          <w:sz w:val="48"/>
          <w:szCs w:val="48"/>
        </w:rPr>
      </w:pPr>
      <w:bookmarkStart w:id="3" w:name="_Hlk177550003"/>
      <w:r>
        <w:rPr>
          <w:rFonts w:hint="eastAsia" w:ascii="黑体" w:hAnsi="黑体" w:eastAsia="黑体" w:cs="黑体"/>
          <w:sz w:val="48"/>
          <w:szCs w:val="48"/>
        </w:rPr>
        <w:t>原位污染探测直推式采样与实时检测一体化系统技术指南</w:t>
      </w:r>
    </w:p>
    <w:bookmarkEnd w:id="3"/>
    <w:p w14:paraId="6374E271">
      <w:pPr>
        <w:spacing w:after="400" w:line="360" w:lineRule="auto"/>
        <w:jc w:val="center"/>
        <w:rPr>
          <w:rFonts w:eastAsia="黑体"/>
          <w:sz w:val="28"/>
          <w:szCs w:val="28"/>
        </w:rPr>
      </w:pPr>
      <w:r>
        <w:rPr>
          <w:rFonts w:eastAsia="黑体"/>
          <w:sz w:val="28"/>
          <w:szCs w:val="28"/>
        </w:rPr>
        <w:t>Application Guidelines for Integrated Direct Push Sampling and Real-Time Monitoring Systems for In-Situ Contamination Detection</w:t>
      </w:r>
    </w:p>
    <w:p w14:paraId="161FF5D9">
      <w:pPr>
        <w:jc w:val="center"/>
        <w:rPr>
          <w:rFonts w:hint="eastAsia" w:ascii="黑体" w:hAnsi="黑体" w:eastAsia="黑体" w:cs="黑体"/>
          <w:sz w:val="28"/>
          <w:szCs w:val="28"/>
        </w:rPr>
      </w:pPr>
      <w:r>
        <w:rPr>
          <w:rFonts w:hint="eastAsia" w:ascii="黑体" w:hAnsi="黑体" w:eastAsia="黑体" w:cs="黑体"/>
          <w:sz w:val="28"/>
          <w:szCs w:val="28"/>
        </w:rPr>
        <w:t>（征求意见稿）</w:t>
      </w:r>
    </w:p>
    <w:p w14:paraId="632755C7">
      <w:pPr>
        <w:rPr>
          <w:rFonts w:hint="eastAsia" w:ascii="黑体" w:hAnsi="黑体" w:eastAsia="黑体" w:cs="黑体"/>
          <w:sz w:val="28"/>
          <w:szCs w:val="28"/>
        </w:rPr>
      </w:pPr>
    </w:p>
    <w:p w14:paraId="7712AC39"/>
    <w:p w14:paraId="22660D5B"/>
    <w:p w14:paraId="1BEADBE4"/>
    <w:p w14:paraId="7466849A"/>
    <w:p w14:paraId="6717B96B"/>
    <w:p w14:paraId="401B1F45"/>
    <w:p w14:paraId="6B8B7148">
      <w:pPr>
        <w:tabs>
          <w:tab w:val="left" w:pos="3927"/>
        </w:tabs>
        <w:jc w:val="left"/>
      </w:pPr>
    </w:p>
    <w:p w14:paraId="5F85C17A">
      <w:pPr>
        <w:tabs>
          <w:tab w:val="left" w:pos="3927"/>
        </w:tabs>
        <w:jc w:val="left"/>
      </w:pPr>
      <w:r>
        <w:rPr>
          <w:rFonts w:hint="eastAsia"/>
        </w:rPr>
        <w:t xml:space="preserve"> </w:t>
      </w:r>
    </w:p>
    <w:p w14:paraId="295C5BEF">
      <w:pPr>
        <w:tabs>
          <w:tab w:val="left" w:pos="3927"/>
        </w:tabs>
        <w:adjustRightInd w:val="0"/>
        <w:snapToGrid w:val="0"/>
        <w:jc w:val="center"/>
        <w:rPr>
          <w:rFonts w:hint="eastAsia" w:ascii="黑体" w:hAnsi="黑体" w:eastAsia="黑体" w:cs="黑体"/>
          <w:sz w:val="28"/>
          <w:szCs w:val="28"/>
        </w:rPr>
      </w:pP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ascii="黑体" w:hAnsi="黑体" w:eastAsia="黑体" w:cs="黑体"/>
          <w:sz w:val="28"/>
          <w:szCs w:val="28"/>
        </w:rPr>
        <w:t xml:space="preserve">发布                                     </w:t>
      </w:r>
      <w:r>
        <w:rPr>
          <w:rFonts w:eastAsia="黑体"/>
          <w:sz w:val="28"/>
          <w:szCs w:val="28"/>
        </w:rPr>
        <w:t>20</w:t>
      </w:r>
      <w:r>
        <w:rPr>
          <w:rFonts w:hint="eastAsia" w:eastAsia="黑体"/>
          <w:sz w:val="28"/>
          <w:szCs w:val="28"/>
        </w:rPr>
        <w:t>××</w:t>
      </w:r>
      <w:r>
        <w:rPr>
          <w:rFonts w:eastAsia="黑体"/>
          <w:sz w:val="28"/>
          <w:szCs w:val="28"/>
        </w:rPr>
        <w:t>-</w:t>
      </w:r>
      <w:r>
        <w:rPr>
          <w:rFonts w:hint="eastAsia" w:eastAsia="黑体"/>
          <w:sz w:val="28"/>
          <w:szCs w:val="28"/>
        </w:rPr>
        <w:t>×</w:t>
      </w:r>
      <w:r>
        <w:rPr>
          <w:rFonts w:eastAsia="黑体"/>
          <w:sz w:val="28"/>
          <w:szCs w:val="28"/>
        </w:rPr>
        <w:t>-</w:t>
      </w:r>
      <w:r>
        <w:rPr>
          <w:rFonts w:hint="eastAsia" w:eastAsia="黑体"/>
          <w:sz w:val="28"/>
          <w:szCs w:val="28"/>
        </w:rPr>
        <w:t>×</w:t>
      </w:r>
      <w:r>
        <w:rPr>
          <w:rFonts w:hint="eastAsia" w:ascii="黑体" w:hAnsi="黑体" w:eastAsia="黑体" w:cs="黑体"/>
          <w:sz w:val="28"/>
          <w:szCs w:val="28"/>
        </w:rPr>
        <w:t>实施</w:t>
      </w:r>
    </w:p>
    <w:p w14:paraId="573FA7E7">
      <w:pPr>
        <w:tabs>
          <w:tab w:val="left" w:pos="3927"/>
        </w:tabs>
        <w:adjustRightInd w:val="0"/>
        <w:snapToGrid w:val="0"/>
        <w:spacing w:line="120" w:lineRule="auto"/>
        <w:jc w:val="center"/>
        <w:rPr>
          <w:rFonts w:hint="eastAsia" w:ascii="黑体" w:hAnsi="黑体" w:eastAsia="黑体" w:cs="黑体"/>
          <w:sz w:val="28"/>
          <w:szCs w:val="28"/>
        </w:rPr>
      </w:pPr>
      <w:r>
        <w:rPr>
          <w:rFonts w:hint="eastAsia"/>
          <w:szCs w:val="21"/>
        </w:rPr>
        <mc:AlternateContent>
          <mc:Choice Requires="wps">
            <w:drawing>
              <wp:inline distT="0" distB="0" distL="0" distR="0">
                <wp:extent cx="6120130" cy="635"/>
                <wp:effectExtent l="13970" t="12700" r="9525" b="6350"/>
                <wp:docPr id="1122897107"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3"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JDTB0gAAAAIBAAAPAAAAAAAAAAEAIAAAACIAAABkcnMv&#10;ZG93bnJldi54bWxQSwECFAAUAAAACACHTuJAQRASlNABAACoAwAADgAAAAAAAAABACAAAAAhAQAA&#10;ZHJzL2Uyb0RvYy54bWxQSwUGAAAAAAYABgBZAQAAYwUAAAAA&#10;">
                <v:fill on="f" focussize="0,0"/>
                <v:stroke color="#000000" joinstyle="round"/>
                <v:imagedata o:title=""/>
                <o:lock v:ext="edit" aspectratio="f"/>
                <w10:wrap type="none"/>
                <w10:anchorlock/>
              </v:line>
            </w:pict>
          </mc:Fallback>
        </mc:AlternateContent>
      </w:r>
    </w:p>
    <w:p w14:paraId="40193F15"/>
    <w:p w14:paraId="2395CD44"/>
    <w:p w14:paraId="35D65E9F">
      <w:pPr>
        <w:tabs>
          <w:tab w:val="center" w:pos="4819"/>
        </w:tabs>
        <w:adjustRightInd w:val="0"/>
        <w:snapToGrid w:val="0"/>
        <w:jc w:val="center"/>
        <w:rPr>
          <w:rFonts w:hint="eastAsia" w:ascii="黑体" w:hAnsi="黑体" w:eastAsia="黑体" w:cs="黑体"/>
          <w:sz w:val="28"/>
          <w:szCs w:val="28"/>
        </w:rPr>
        <w:sectPr>
          <w:headerReference r:id="rId3" w:type="default"/>
          <w:headerReference r:id="rId4" w:type="even"/>
          <w:pgSz w:w="11906" w:h="16838"/>
          <w:pgMar w:top="567" w:right="850" w:bottom="1134" w:left="1417" w:header="0" w:footer="0" w:gutter="0"/>
          <w:pgNumType w:start="1"/>
          <w:cols w:space="0" w:num="1"/>
          <w:docGrid w:type="lines" w:linePitch="312" w:charSpace="0"/>
        </w:sectPr>
      </w:pPr>
      <w:r>
        <w:rPr>
          <w:rFonts w:hint="eastAsia" w:ascii="华文中宋" w:hAnsi="华文中宋" w:eastAsia="华文中宋" w:cs="华文中宋"/>
          <w:sz w:val="30"/>
          <w:szCs w:val="30"/>
        </w:rPr>
        <w:t>中华环保联合会</w:t>
      </w:r>
      <w:r>
        <w:rPr>
          <w:rFonts w:hint="eastAsia"/>
        </w:rPr>
        <w:t xml:space="preserve">   </w:t>
      </w:r>
      <w:r>
        <w:rPr>
          <w:rFonts w:hint="eastAsia" w:ascii="黑体" w:hAnsi="黑体" w:eastAsia="黑体" w:cs="黑体"/>
          <w:sz w:val="28"/>
          <w:szCs w:val="28"/>
        </w:rPr>
        <w:t xml:space="preserve">发 </w:t>
      </w:r>
    </w:p>
    <w:p w14:paraId="19772C56">
      <w:pPr>
        <w:tabs>
          <w:tab w:val="center" w:pos="4819"/>
        </w:tabs>
        <w:adjustRightInd w:val="0"/>
        <w:snapToGrid w:val="0"/>
        <w:jc w:val="both"/>
        <w:rPr>
          <w:rFonts w:hint="eastAsia" w:ascii="黑体" w:hAnsi="黑体" w:eastAsia="黑体" w:cs="黑体"/>
          <w:sz w:val="28"/>
          <w:szCs w:val="28"/>
        </w:rPr>
        <w:sectPr>
          <w:pgSz w:w="11906" w:h="16838"/>
          <w:pgMar w:top="567" w:right="850" w:bottom="1134" w:left="1417" w:header="0" w:footer="0" w:gutter="0"/>
          <w:pgNumType w:start="1"/>
          <w:cols w:space="0" w:num="1"/>
          <w:docGrid w:type="lines" w:linePitch="312" w:charSpace="0"/>
        </w:sectPr>
      </w:pPr>
    </w:p>
    <w:bookmarkEnd w:id="0"/>
    <w:bookmarkEnd w:id="1"/>
    <w:bookmarkEnd w:id="2"/>
    <w:sdt>
      <w:sdtPr>
        <w:rPr>
          <w:rFonts w:hint="eastAsia" w:ascii="黑体" w:hAnsi="黑体" w:eastAsia="黑体" w:cs="黑体"/>
          <w:sz w:val="36"/>
          <w:szCs w:val="36"/>
          <w:lang w:val="en-US" w:eastAsia="zh-CN" w:bidi="ar-SA"/>
        </w:rPr>
        <w:id w:val="147467639"/>
        <w15:color w:val="DBDBDB"/>
        <w:docPartObj>
          <w:docPartGallery w:val="Table of Contents"/>
          <w:docPartUnique/>
        </w:docPartObj>
      </w:sdtPr>
      <w:sdtEndPr>
        <w:rPr>
          <w:rFonts w:hint="eastAsia" w:ascii="黑体" w:hAnsi="黑体" w:eastAsia="黑体" w:cs="黑体"/>
          <w:sz w:val="21"/>
          <w:szCs w:val="21"/>
          <w:lang w:val="en-US" w:eastAsia="zh-CN" w:bidi="ar-SA"/>
        </w:rPr>
      </w:sdtEndPr>
      <w:sdtContent>
        <w:p w14:paraId="66AD7A19">
          <w:pPr>
            <w:keepNext w:val="0"/>
            <w:keepLines w:val="0"/>
            <w:pageBreakBefore w:val="0"/>
            <w:widowControl w:val="0"/>
            <w:kinsoku/>
            <w:wordWrap/>
            <w:overflowPunct/>
            <w:topLinePunct w:val="0"/>
            <w:autoSpaceDE/>
            <w:autoSpaceDN/>
            <w:bidi w:val="0"/>
            <w:adjustRightInd/>
            <w:snapToGrid/>
            <w:spacing w:before="850" w:beforeLines="0" w:after="680" w:afterLines="0" w:line="240" w:lineRule="auto"/>
            <w:ind w:left="0" w:leftChars="0" w:right="0" w:rightChars="0" w:firstLine="0" w:firstLineChars="0"/>
            <w:jc w:val="center"/>
            <w:textAlignment w:val="auto"/>
            <w:rPr>
              <w:rFonts w:hint="default" w:ascii="黑体" w:hAnsi="黑体" w:eastAsia="黑体" w:cs="黑体"/>
              <w:sz w:val="36"/>
              <w:szCs w:val="36"/>
              <w:lang w:val="en-US"/>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次</w:t>
          </w:r>
        </w:p>
        <w:p w14:paraId="1FC72886">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 w:val="36"/>
              <w:szCs w:val="21"/>
            </w:rPr>
            <w:fldChar w:fldCharType="begin"/>
          </w:r>
          <w:r>
            <w:rPr>
              <w:rFonts w:hint="eastAsia" w:ascii="黑体" w:hAnsi="黑体" w:eastAsia="黑体" w:cs="黑体"/>
              <w:sz w:val="36"/>
              <w:szCs w:val="21"/>
            </w:rPr>
            <w:instrText xml:space="preserve">TOC \o "1-1" \h \u </w:instrText>
          </w:r>
          <w:r>
            <w:rPr>
              <w:rFonts w:hint="eastAsia" w:ascii="黑体" w:hAnsi="黑体" w:eastAsia="黑体" w:cs="黑体"/>
              <w:sz w:val="36"/>
              <w:szCs w:val="21"/>
            </w:rPr>
            <w:fldChar w:fldCharType="separate"/>
          </w:r>
          <w:r>
            <w:rPr>
              <w:rFonts w:hint="default" w:ascii="Times New Roman" w:hAnsi="Times New Roman" w:eastAsia="黑体" w:cs="Times New Roman"/>
              <w:szCs w:val="21"/>
            </w:rPr>
            <w:fldChar w:fldCharType="begin"/>
          </w:r>
          <w:r>
            <w:rPr>
              <w:rFonts w:hint="default" w:ascii="Times New Roman" w:hAnsi="Times New Roman" w:eastAsia="黑体" w:cs="Times New Roman"/>
              <w:szCs w:val="21"/>
            </w:rPr>
            <w:instrText xml:space="preserve"> HYPERLINK \l _Toc26087 </w:instrText>
          </w:r>
          <w:r>
            <w:rPr>
              <w:rFonts w:hint="default" w:ascii="Times New Roman" w:hAnsi="Times New Roman" w:eastAsia="黑体" w:cs="Times New Roman"/>
              <w:szCs w:val="21"/>
            </w:rPr>
            <w:fldChar w:fldCharType="separate"/>
          </w:r>
          <w:r>
            <w:rPr>
              <w:rFonts w:hint="default" w:ascii="Times New Roman" w:hAnsi="Times New Roman" w:eastAsia="黑体" w:cs="Times New Roman"/>
              <w:szCs w:val="21"/>
            </w:rPr>
            <w:t xml:space="preserve">1 </w:t>
          </w:r>
          <w:r>
            <w:rPr>
              <w:rFonts w:hint="eastAsia" w:eastAsia="黑体" w:cs="Times New Roman"/>
              <w:szCs w:val="21"/>
              <w:lang w:val="en-US" w:eastAsia="zh-CN"/>
            </w:rPr>
            <w:t xml:space="preserve">   </w:t>
          </w:r>
          <w:r>
            <w:rPr>
              <w:rFonts w:hint="default" w:ascii="Times New Roman" w:hAnsi="Times New Roman" w:eastAsia="宋体"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_Toc26087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黑体" w:cs="Times New Roman"/>
              <w:szCs w:val="21"/>
            </w:rPr>
            <w:fldChar w:fldCharType="end"/>
          </w:r>
        </w:p>
        <w:p w14:paraId="36B4B90A">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_Toc13460 </w:instrText>
          </w:r>
          <w:r>
            <w:rPr>
              <w:rFonts w:hint="eastAsia" w:ascii="黑体" w:hAnsi="黑体" w:eastAsia="黑体" w:cs="黑体"/>
              <w:szCs w:val="21"/>
            </w:rPr>
            <w:fldChar w:fldCharType="separate"/>
          </w:r>
          <w:r>
            <w:rPr>
              <w:rFonts w:hint="default" w:ascii="Times New Roman" w:hAnsi="Times New Roman" w:eastAsia="黑体" w:cs="Times New Roman"/>
              <w:szCs w:val="21"/>
            </w:rPr>
            <w:t>2</w:t>
          </w:r>
          <w:r>
            <w:rPr>
              <w:rFonts w:hint="default" w:ascii="黑体" w:hAnsi="黑体" w:eastAsia="黑体"/>
              <w:szCs w:val="21"/>
            </w:rPr>
            <w:t xml:space="preserve"> </w:t>
          </w:r>
          <w:r>
            <w:rPr>
              <w:rFonts w:hint="eastAsia" w:ascii="黑体" w:hAnsi="黑体" w:eastAsia="黑体"/>
              <w:szCs w:val="21"/>
              <w:lang w:val="en-US" w:eastAsia="zh-CN"/>
            </w:rPr>
            <w:t xml:space="preserve"> </w:t>
          </w:r>
          <w:r>
            <w:rPr>
              <w:rFonts w:hint="eastAsia" w:ascii="宋体" w:hAnsi="宋体" w:eastAsia="宋体" w:cs="宋体"/>
            </w:rPr>
            <w:t>规范性引用文件</w:t>
          </w:r>
          <w:r>
            <w:tab/>
          </w:r>
          <w:r>
            <w:fldChar w:fldCharType="begin"/>
          </w:r>
          <w:r>
            <w:instrText xml:space="preserve"> PAGEREF _Toc13460 \h </w:instrText>
          </w:r>
          <w:r>
            <w:fldChar w:fldCharType="separate"/>
          </w:r>
          <w:r>
            <w:t>1</w:t>
          </w:r>
          <w:r>
            <w:fldChar w:fldCharType="end"/>
          </w:r>
          <w:r>
            <w:rPr>
              <w:rFonts w:hint="eastAsia" w:ascii="黑体" w:hAnsi="黑体" w:eastAsia="黑体" w:cs="黑体"/>
              <w:szCs w:val="21"/>
            </w:rPr>
            <w:fldChar w:fldCharType="end"/>
          </w:r>
        </w:p>
        <w:p w14:paraId="38B0F733">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_Toc13488 </w:instrText>
          </w:r>
          <w:r>
            <w:rPr>
              <w:rFonts w:hint="eastAsia" w:ascii="黑体" w:hAnsi="黑体" w:eastAsia="黑体" w:cs="黑体"/>
              <w:szCs w:val="21"/>
            </w:rPr>
            <w:fldChar w:fldCharType="separate"/>
          </w:r>
          <w:r>
            <w:rPr>
              <w:rFonts w:hint="default" w:ascii="Times New Roman" w:hAnsi="Times New Roman" w:eastAsia="黑体" w:cs="Times New Roman"/>
              <w:szCs w:val="21"/>
            </w:rPr>
            <w:t xml:space="preserve">3 </w:t>
          </w:r>
          <w:r>
            <w:rPr>
              <w:rFonts w:hint="eastAsia" w:eastAsia="黑体" w:cs="Times New Roman"/>
              <w:szCs w:val="21"/>
              <w:lang w:val="en-US" w:eastAsia="zh-CN"/>
            </w:rPr>
            <w:t xml:space="preserve">   </w:t>
          </w:r>
          <w:r>
            <w:rPr>
              <w:rFonts w:hint="eastAsia" w:ascii="宋体" w:hAnsi="宋体" w:eastAsia="宋体" w:cs="宋体"/>
            </w:rPr>
            <w:t>术语和定义</w:t>
          </w:r>
          <w:r>
            <w:tab/>
          </w:r>
          <w:r>
            <w:fldChar w:fldCharType="begin"/>
          </w:r>
          <w:r>
            <w:instrText xml:space="preserve"> PAGEREF _Toc13488 \h </w:instrText>
          </w:r>
          <w:r>
            <w:fldChar w:fldCharType="separate"/>
          </w:r>
          <w:r>
            <w:t>1</w:t>
          </w:r>
          <w:r>
            <w:fldChar w:fldCharType="end"/>
          </w:r>
          <w:r>
            <w:rPr>
              <w:rFonts w:hint="eastAsia" w:ascii="黑体" w:hAnsi="黑体" w:eastAsia="黑体" w:cs="黑体"/>
              <w:szCs w:val="21"/>
            </w:rPr>
            <w:fldChar w:fldCharType="end"/>
          </w:r>
        </w:p>
        <w:p w14:paraId="65052DD4">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_Toc16675 </w:instrText>
          </w:r>
          <w:r>
            <w:rPr>
              <w:rFonts w:hint="eastAsia" w:ascii="黑体" w:hAnsi="黑体" w:eastAsia="黑体" w:cs="黑体"/>
              <w:szCs w:val="21"/>
            </w:rPr>
            <w:fldChar w:fldCharType="separate"/>
          </w:r>
          <w:r>
            <w:rPr>
              <w:rFonts w:hint="default" w:ascii="Times New Roman" w:hAnsi="Times New Roman" w:eastAsia="黑体" w:cs="Times New Roman"/>
              <w:szCs w:val="21"/>
            </w:rPr>
            <w:t>4</w:t>
          </w:r>
          <w:r>
            <w:rPr>
              <w:rFonts w:hint="default" w:ascii="黑体" w:hAnsi="黑体" w:eastAsia="黑体"/>
              <w:szCs w:val="21"/>
            </w:rPr>
            <w:t xml:space="preserve"> </w:t>
          </w:r>
          <w:r>
            <w:rPr>
              <w:rFonts w:hint="eastAsia" w:ascii="黑体" w:hAnsi="黑体" w:eastAsia="黑体"/>
              <w:szCs w:val="21"/>
              <w:lang w:val="en-US" w:eastAsia="zh-CN"/>
            </w:rPr>
            <w:t xml:space="preserve"> </w:t>
          </w:r>
          <w:r>
            <w:rPr>
              <w:rFonts w:hint="eastAsia" w:ascii="宋体" w:hAnsi="宋体" w:eastAsia="宋体" w:cs="宋体"/>
            </w:rPr>
            <w:t>系统技术要求</w:t>
          </w:r>
          <w:r>
            <w:tab/>
          </w:r>
          <w:r>
            <w:fldChar w:fldCharType="begin"/>
          </w:r>
          <w:r>
            <w:instrText xml:space="preserve"> PAGEREF _Toc16675 \h </w:instrText>
          </w:r>
          <w:r>
            <w:fldChar w:fldCharType="separate"/>
          </w:r>
          <w:r>
            <w:t>2</w:t>
          </w:r>
          <w:r>
            <w:fldChar w:fldCharType="end"/>
          </w:r>
          <w:r>
            <w:rPr>
              <w:rFonts w:hint="eastAsia" w:ascii="黑体" w:hAnsi="黑体" w:eastAsia="黑体" w:cs="黑体"/>
              <w:szCs w:val="21"/>
            </w:rPr>
            <w:fldChar w:fldCharType="end"/>
          </w:r>
        </w:p>
        <w:p w14:paraId="4C753506">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_Toc16865 </w:instrText>
          </w:r>
          <w:r>
            <w:rPr>
              <w:rFonts w:hint="eastAsia" w:ascii="黑体" w:hAnsi="黑体" w:eastAsia="黑体" w:cs="黑体"/>
              <w:szCs w:val="21"/>
            </w:rPr>
            <w:fldChar w:fldCharType="separate"/>
          </w:r>
          <w:r>
            <w:rPr>
              <w:rFonts w:hint="default" w:ascii="Times New Roman" w:hAnsi="Times New Roman" w:eastAsia="黑体" w:cs="Times New Roman"/>
              <w:szCs w:val="21"/>
            </w:rPr>
            <w:t>5</w:t>
          </w:r>
          <w:r>
            <w:rPr>
              <w:rFonts w:hint="default" w:ascii="黑体" w:hAnsi="黑体" w:eastAsia="黑体"/>
              <w:szCs w:val="21"/>
            </w:rPr>
            <w:t xml:space="preserve"> </w:t>
          </w:r>
          <w:r>
            <w:rPr>
              <w:rFonts w:hint="eastAsia" w:ascii="黑体" w:hAnsi="黑体" w:eastAsia="黑体"/>
              <w:szCs w:val="21"/>
              <w:lang w:val="en-US" w:eastAsia="zh-CN"/>
            </w:rPr>
            <w:t xml:space="preserve"> </w:t>
          </w:r>
          <w:r>
            <w:rPr>
              <w:rFonts w:hint="eastAsia" w:ascii="宋体" w:hAnsi="宋体" w:eastAsia="宋体" w:cs="宋体"/>
            </w:rPr>
            <w:t>作业程序</w:t>
          </w:r>
          <w:r>
            <w:tab/>
          </w:r>
          <w:r>
            <w:fldChar w:fldCharType="begin"/>
          </w:r>
          <w:r>
            <w:instrText xml:space="preserve"> PAGEREF _Toc16865 \h </w:instrText>
          </w:r>
          <w:r>
            <w:fldChar w:fldCharType="separate"/>
          </w:r>
          <w:r>
            <w:t>7</w:t>
          </w:r>
          <w:r>
            <w:fldChar w:fldCharType="end"/>
          </w:r>
          <w:r>
            <w:rPr>
              <w:rFonts w:hint="eastAsia" w:ascii="黑体" w:hAnsi="黑体" w:eastAsia="黑体" w:cs="黑体"/>
              <w:szCs w:val="21"/>
            </w:rPr>
            <w:fldChar w:fldCharType="end"/>
          </w:r>
        </w:p>
        <w:p w14:paraId="42DD5264">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_Toc10258 </w:instrText>
          </w:r>
          <w:r>
            <w:rPr>
              <w:rFonts w:hint="eastAsia" w:ascii="黑体" w:hAnsi="黑体" w:eastAsia="黑体" w:cs="黑体"/>
              <w:szCs w:val="21"/>
            </w:rPr>
            <w:fldChar w:fldCharType="separate"/>
          </w:r>
          <w:r>
            <w:rPr>
              <w:rFonts w:hint="default" w:ascii="Times New Roman" w:hAnsi="Times New Roman" w:eastAsia="黑体" w:cs="Times New Roman"/>
              <w:szCs w:val="21"/>
            </w:rPr>
            <w:t>6</w:t>
          </w:r>
          <w:r>
            <w:rPr>
              <w:rFonts w:hint="default" w:ascii="黑体" w:hAnsi="黑体" w:eastAsia="黑体"/>
              <w:szCs w:val="21"/>
            </w:rPr>
            <w:t xml:space="preserve"> </w:t>
          </w:r>
          <w:r>
            <w:rPr>
              <w:rFonts w:hint="eastAsia" w:ascii="黑体" w:hAnsi="黑体" w:eastAsia="黑体"/>
              <w:szCs w:val="21"/>
              <w:lang w:val="en-US" w:eastAsia="zh-CN"/>
            </w:rPr>
            <w:t xml:space="preserve"> </w:t>
          </w:r>
          <w:r>
            <w:rPr>
              <w:rFonts w:hint="eastAsia" w:ascii="宋体" w:hAnsi="宋体" w:eastAsia="宋体" w:cs="宋体"/>
            </w:rPr>
            <w:t>质量保证及质量控制</w:t>
          </w:r>
          <w:r>
            <w:tab/>
          </w:r>
          <w:r>
            <w:fldChar w:fldCharType="begin"/>
          </w:r>
          <w:r>
            <w:instrText xml:space="preserve"> PAGEREF _Toc10258 \h </w:instrText>
          </w:r>
          <w:r>
            <w:fldChar w:fldCharType="separate"/>
          </w:r>
          <w:r>
            <w:t>9</w:t>
          </w:r>
          <w:r>
            <w:fldChar w:fldCharType="end"/>
          </w:r>
          <w:r>
            <w:rPr>
              <w:rFonts w:hint="eastAsia" w:ascii="黑体" w:hAnsi="黑体" w:eastAsia="黑体" w:cs="黑体"/>
              <w:szCs w:val="21"/>
            </w:rPr>
            <w:fldChar w:fldCharType="end"/>
          </w:r>
        </w:p>
        <w:p w14:paraId="1D82803A">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_Toc27695 </w:instrText>
          </w:r>
          <w:r>
            <w:rPr>
              <w:rFonts w:hint="eastAsia" w:ascii="黑体" w:hAnsi="黑体" w:eastAsia="黑体" w:cs="黑体"/>
              <w:szCs w:val="21"/>
            </w:rPr>
            <w:fldChar w:fldCharType="separate"/>
          </w:r>
          <w:r>
            <w:rPr>
              <w:rFonts w:hint="default" w:ascii="Times New Roman" w:hAnsi="Times New Roman" w:eastAsia="黑体" w:cs="Times New Roman"/>
              <w:szCs w:val="21"/>
            </w:rPr>
            <w:t>7</w:t>
          </w:r>
          <w:r>
            <w:rPr>
              <w:rFonts w:hint="default" w:ascii="黑体" w:hAnsi="黑体" w:eastAsia="黑体"/>
              <w:szCs w:val="21"/>
            </w:rPr>
            <w:t xml:space="preserve"> </w:t>
          </w:r>
          <w:r>
            <w:rPr>
              <w:rFonts w:hint="eastAsia" w:ascii="黑体" w:hAnsi="黑体" w:eastAsia="黑体"/>
              <w:szCs w:val="21"/>
              <w:lang w:val="en-US" w:eastAsia="zh-CN"/>
            </w:rPr>
            <w:t xml:space="preserve"> </w:t>
          </w:r>
          <w:r>
            <w:rPr>
              <w:rFonts w:hint="eastAsia" w:ascii="宋体" w:hAnsi="宋体" w:eastAsia="宋体" w:cs="宋体"/>
            </w:rPr>
            <w:t>二次污染防治</w:t>
          </w:r>
          <w:r>
            <w:tab/>
          </w:r>
          <w:r>
            <w:fldChar w:fldCharType="begin"/>
          </w:r>
          <w:r>
            <w:instrText xml:space="preserve"> PAGEREF _Toc27695 \h </w:instrText>
          </w:r>
          <w:r>
            <w:fldChar w:fldCharType="separate"/>
          </w:r>
          <w:r>
            <w:t>10</w:t>
          </w:r>
          <w:r>
            <w:fldChar w:fldCharType="end"/>
          </w:r>
          <w:r>
            <w:rPr>
              <w:rFonts w:hint="eastAsia" w:ascii="黑体" w:hAnsi="黑体" w:eastAsia="黑体" w:cs="黑体"/>
              <w:szCs w:val="21"/>
            </w:rPr>
            <w:fldChar w:fldCharType="end"/>
          </w:r>
        </w:p>
        <w:p w14:paraId="25AB18FF">
          <w:pPr>
            <w:pStyle w:val="13"/>
            <w:keepLines w:val="0"/>
            <w:pageBreakBefore w:val="0"/>
            <w:widowControl w:val="0"/>
            <w:tabs>
              <w:tab w:val="right" w:leader="dot" w:pos="9355"/>
            </w:tabs>
            <w:kinsoku/>
            <w:wordWrap/>
            <w:topLinePunct w:val="0"/>
            <w:autoSpaceDE/>
            <w:autoSpaceDN/>
            <w:bidi w:val="0"/>
            <w:adjustRightInd/>
            <w:snapToGrid/>
            <w:spacing w:line="360" w:lineRule="auto"/>
            <w:textAlignment w:val="auto"/>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_Toc27645 </w:instrText>
          </w:r>
          <w:r>
            <w:rPr>
              <w:rFonts w:hint="eastAsia" w:ascii="黑体" w:hAnsi="黑体" w:eastAsia="黑体" w:cs="黑体"/>
              <w:szCs w:val="21"/>
            </w:rPr>
            <w:fldChar w:fldCharType="separate"/>
          </w:r>
          <w:r>
            <w:rPr>
              <w:rFonts w:hint="default" w:ascii="Times New Roman" w:hAnsi="Times New Roman" w:eastAsia="黑体" w:cs="Times New Roman"/>
              <w:szCs w:val="21"/>
            </w:rPr>
            <w:t>8</w:t>
          </w:r>
          <w:r>
            <w:rPr>
              <w:rFonts w:hint="default" w:ascii="黑体" w:hAnsi="黑体" w:eastAsia="黑体"/>
              <w:szCs w:val="21"/>
            </w:rPr>
            <w:t xml:space="preserve"> </w:t>
          </w:r>
          <w:r>
            <w:rPr>
              <w:rFonts w:hint="eastAsia" w:ascii="黑体" w:hAnsi="黑体" w:eastAsia="黑体"/>
              <w:szCs w:val="21"/>
              <w:lang w:val="en-US" w:eastAsia="zh-CN"/>
            </w:rPr>
            <w:t xml:space="preserve"> </w:t>
          </w:r>
          <w:r>
            <w:rPr>
              <w:rFonts w:hint="eastAsia" w:ascii="宋体" w:hAnsi="宋体" w:eastAsia="宋体" w:cs="宋体"/>
            </w:rPr>
            <w:t>职业卫生与劳动安全</w:t>
          </w:r>
          <w:r>
            <w:tab/>
          </w:r>
          <w:r>
            <w:fldChar w:fldCharType="begin"/>
          </w:r>
          <w:r>
            <w:instrText xml:space="preserve"> PAGEREF _Toc27645 \h </w:instrText>
          </w:r>
          <w:r>
            <w:fldChar w:fldCharType="separate"/>
          </w:r>
          <w:r>
            <w:t>10</w:t>
          </w:r>
          <w:r>
            <w:fldChar w:fldCharType="end"/>
          </w:r>
          <w:r>
            <w:rPr>
              <w:rFonts w:hint="eastAsia" w:ascii="黑体" w:hAnsi="黑体" w:eastAsia="黑体" w:cs="黑体"/>
              <w:szCs w:val="21"/>
            </w:rPr>
            <w:fldChar w:fldCharType="end"/>
          </w:r>
        </w:p>
        <w:p w14:paraId="5666E609">
          <w:pPr>
            <w:keepNext/>
            <w:keepLines w:val="0"/>
            <w:pageBreakBefore w:val="0"/>
            <w:widowControl w:val="0"/>
            <w:kinsoku/>
            <w:wordWrap/>
            <w:overflowPunct w:val="0"/>
            <w:topLinePunct w:val="0"/>
            <w:autoSpaceDE/>
            <w:autoSpaceDN/>
            <w:bidi w:val="0"/>
            <w:adjustRightInd/>
            <w:snapToGrid/>
            <w:spacing w:before="850" w:after="680" w:line="360" w:lineRule="auto"/>
            <w:jc w:val="both"/>
            <w:textAlignment w:val="auto"/>
            <w:rPr>
              <w:rFonts w:hint="eastAsia" w:ascii="黑体" w:hAnsi="黑体" w:eastAsia="黑体" w:cs="黑体"/>
              <w:sz w:val="21"/>
              <w:szCs w:val="21"/>
              <w:lang w:val="en-US" w:eastAsia="zh-CN" w:bidi="ar-SA"/>
            </w:rPr>
          </w:pPr>
          <w:r>
            <w:rPr>
              <w:rFonts w:hint="eastAsia" w:ascii="黑体" w:hAnsi="黑体" w:eastAsia="黑体" w:cs="黑体"/>
              <w:szCs w:val="21"/>
            </w:rPr>
            <w:fldChar w:fldCharType="end"/>
          </w:r>
        </w:p>
      </w:sdtContent>
    </w:sdt>
    <w:p w14:paraId="4DD291F9">
      <w:pPr>
        <w:keepNext/>
        <w:overflowPunct w:val="0"/>
        <w:spacing w:before="850" w:after="680"/>
        <w:jc w:val="both"/>
        <w:rPr>
          <w:rFonts w:hint="eastAsia" w:ascii="黑体" w:hAnsi="黑体" w:eastAsia="黑体" w:cs="黑体"/>
          <w:sz w:val="21"/>
          <w:szCs w:val="21"/>
          <w:lang w:val="en-US" w:eastAsia="zh-CN" w:bidi="ar-SA"/>
        </w:rPr>
      </w:pPr>
    </w:p>
    <w:p w14:paraId="338538E6">
      <w:pPr>
        <w:spacing w:line="360" w:lineRule="auto"/>
        <w:rPr>
          <w:color w:val="000000" w:themeColor="text1"/>
          <w:sz w:val="24"/>
          <w:szCs w:val="24"/>
          <w14:textFill>
            <w14:solidFill>
              <w14:schemeClr w14:val="tx1"/>
            </w14:solidFill>
          </w14:textFill>
        </w:rPr>
      </w:pPr>
    </w:p>
    <w:p w14:paraId="18E4941E">
      <w:pPr>
        <w:pStyle w:val="26"/>
      </w:pPr>
    </w:p>
    <w:p w14:paraId="1412FE18">
      <w:pPr>
        <w:spacing w:line="360" w:lineRule="auto"/>
        <w:rPr>
          <w:color w:val="000000" w:themeColor="text1"/>
          <w:sz w:val="24"/>
          <w:szCs w:val="24"/>
          <w14:textFill>
            <w14:solidFill>
              <w14:schemeClr w14:val="tx1"/>
            </w14:solidFill>
          </w14:textFill>
        </w:rPr>
      </w:pPr>
    </w:p>
    <w:p w14:paraId="37AAA53A">
      <w:pPr>
        <w:spacing w:line="360" w:lineRule="auto"/>
        <w:rPr>
          <w:color w:val="000000" w:themeColor="text1"/>
          <w:sz w:val="24"/>
          <w:szCs w:val="24"/>
          <w14:textFill>
            <w14:solidFill>
              <w14:schemeClr w14:val="tx1"/>
            </w14:solidFill>
          </w14:textFill>
        </w:rPr>
      </w:pPr>
    </w:p>
    <w:p w14:paraId="289178FD">
      <w:pPr>
        <w:rPr>
          <w:kern w:val="2"/>
        </w:rPr>
      </w:pPr>
    </w:p>
    <w:p w14:paraId="6FDB505C">
      <w:pPr>
        <w:widowControl/>
        <w:jc w:val="left"/>
        <w:rPr>
          <w:rFonts w:hint="eastAsia" w:ascii="黑体" w:hAnsi="黑体" w:eastAsia="黑体" w:cs="黑体"/>
          <w:sz w:val="36"/>
          <w:szCs w:val="21"/>
        </w:rPr>
      </w:pPr>
      <w:bookmarkStart w:id="4" w:name="_Toc13619"/>
      <w:r>
        <w:rPr>
          <w:rFonts w:hint="eastAsia" w:ascii="黑体" w:hAnsi="黑体" w:eastAsia="黑体" w:cs="黑体"/>
          <w:sz w:val="36"/>
          <w:szCs w:val="21"/>
        </w:rPr>
        <w:br w:type="page"/>
      </w:r>
    </w:p>
    <w:p w14:paraId="4BA6BA14">
      <w:pPr>
        <w:keepNext/>
        <w:pageBreakBefore/>
        <w:shd w:val="clear" w:color="FFFFFF" w:fill="auto"/>
        <w:overflowPunct w:val="0"/>
        <w:spacing w:before="850" w:after="680"/>
        <w:jc w:val="center"/>
        <w:rPr>
          <w:rFonts w:hint="eastAsia" w:ascii="黑体" w:hAnsi="黑体" w:eastAsia="黑体" w:cs="黑体"/>
          <w:sz w:val="36"/>
          <w:szCs w:val="21"/>
        </w:rPr>
      </w:pPr>
      <w:r>
        <w:rPr>
          <w:rFonts w:hint="eastAsia" w:ascii="黑体" w:hAnsi="黑体" w:eastAsia="黑体" w:cs="黑体"/>
          <w:sz w:val="36"/>
          <w:szCs w:val="21"/>
        </w:rPr>
        <w:t>前    言</w:t>
      </w:r>
      <w:bookmarkEnd w:id="4"/>
    </w:p>
    <w:p w14:paraId="563D7764">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本文件按照GB/T1.1-2020《标准化工作导则  第1部分：标准化文件的结构和起草规则》的规定起草。</w:t>
      </w:r>
    </w:p>
    <w:p w14:paraId="0F1A2746">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请注意本文件的某些内容可能涉及专利。本文件的发布机构不承担识别专利的责任。</w:t>
      </w:r>
    </w:p>
    <w:p w14:paraId="79616A23">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为贯彻《中华人民共和国环境保护法》、《中华人民共和国土壤污染防治法》、《中华人民共和国水污染防治法》、《地下水管理条例》，提高污染场地修复工程质量，保障土壤、地下水环境安全，制定本文件。</w:t>
      </w:r>
    </w:p>
    <w:p w14:paraId="2931CC62">
      <w:pPr>
        <w:adjustRightInd w:val="0"/>
        <w:snapToGrid w:val="0"/>
        <w:spacing w:after="156" w:afterLines="50"/>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本文件为首次发布。</w:t>
      </w:r>
    </w:p>
    <w:p w14:paraId="7830B87E">
      <w:pPr>
        <w:adjustRightInd w:val="0"/>
        <w:snapToGrid w:val="0"/>
        <w:spacing w:after="156" w:afterLines="50"/>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本文件由核生化灾害防护化学全国重点实验室提出。</w:t>
      </w:r>
    </w:p>
    <w:p w14:paraId="767A9541">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本文件由中华环保联合会归口。</w:t>
      </w:r>
    </w:p>
    <w:p w14:paraId="57BCCDA8">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本文件起草单位：</w:t>
      </w:r>
      <w:bookmarkStart w:id="5" w:name="_Hlk179103866"/>
      <w:r>
        <w:rPr>
          <w:rFonts w:hint="eastAsia"/>
          <w:color w:val="000000" w:themeColor="text1"/>
          <w:szCs w:val="21"/>
          <w14:textFill>
            <w14:solidFill>
              <w14:schemeClr w14:val="tx1"/>
            </w14:solidFill>
          </w14:textFill>
        </w:rPr>
        <w:t>中国人民解放军军事科学院防化研究院、森特士兴环保科技有限公司、南京贻润环境科技有限公司、江苏省环境科学研究院、东南大学、徐州徐工环境技术有限公司</w:t>
      </w:r>
      <w:bookmarkEnd w:id="5"/>
      <w:r>
        <w:rPr>
          <w:rFonts w:hint="eastAsia"/>
          <w:color w:val="000000" w:themeColor="text1"/>
          <w:szCs w:val="21"/>
          <w14:textFill>
            <w14:solidFill>
              <w14:schemeClr w14:val="tx1"/>
            </w14:solidFill>
          </w14:textFill>
        </w:rPr>
        <w:t>。</w:t>
      </w:r>
    </w:p>
    <w:p w14:paraId="012A875E">
      <w:pPr>
        <w:adjustRightInd w:val="0"/>
        <w:snapToGrid w:val="0"/>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本文件主要起草人：</w:t>
      </w:r>
      <w:bookmarkStart w:id="6" w:name="_Hlk179103995"/>
      <w:bookmarkStart w:id="7" w:name="_Hlk179098835"/>
      <w:r>
        <w:rPr>
          <w:rFonts w:hint="eastAsia"/>
          <w:color w:val="000000" w:themeColor="text1"/>
          <w:szCs w:val="21"/>
          <w14:textFill>
            <w14:solidFill>
              <w14:schemeClr w14:val="tx1"/>
            </w14:solidFill>
          </w14:textFill>
        </w:rPr>
        <w:t>朱勇兵，赵三平，</w:t>
      </w:r>
      <w:r>
        <w:rPr>
          <w:rFonts w:hint="eastAsia"/>
          <w:color w:val="000000" w:themeColor="text1"/>
          <w:szCs w:val="21"/>
          <w:lang w:val="en-US" w:eastAsia="zh-CN"/>
          <w14:textFill>
            <w14:solidFill>
              <w14:schemeClr w14:val="tx1"/>
            </w14:solidFill>
          </w14:textFill>
        </w:rPr>
        <w:t>罗古拜</w:t>
      </w:r>
      <w:r>
        <w:rPr>
          <w:rFonts w:hint="eastAsia"/>
          <w:color w:val="000000" w:themeColor="text1"/>
          <w:szCs w:val="21"/>
          <w14:textFill>
            <w14:solidFill>
              <w14:schemeClr w14:val="tx1"/>
            </w14:solidFill>
          </w14:textFill>
        </w:rPr>
        <w:t>，尹业新，宋敏，冯亚松，</w:t>
      </w:r>
      <w:r>
        <w:rPr>
          <w:rFonts w:hint="eastAsia"/>
          <w:color w:val="000000" w:themeColor="text1"/>
          <w:szCs w:val="21"/>
          <w:lang w:val="en-US" w:eastAsia="zh-CN"/>
          <w14:textFill>
            <w14:solidFill>
              <w14:schemeClr w14:val="tx1"/>
            </w14:solidFill>
          </w14:textFill>
        </w:rPr>
        <w:t>邹惠</w:t>
      </w:r>
      <w:r>
        <w:rPr>
          <w:rFonts w:hint="eastAsia"/>
          <w:color w:val="000000" w:themeColor="text1"/>
          <w:szCs w:val="21"/>
          <w14:textFill>
            <w14:solidFill>
              <w14:schemeClr w14:val="tx1"/>
            </w14:solidFill>
          </w14:textFill>
        </w:rPr>
        <w:t>，王鹏</w:t>
      </w:r>
      <w:bookmarkEnd w:id="6"/>
      <w:bookmarkEnd w:id="7"/>
      <w:r>
        <w:rPr>
          <w:rFonts w:hint="eastAsia"/>
          <w:color w:val="000000" w:themeColor="text1"/>
          <w:szCs w:val="21"/>
          <w14:textFill>
            <w14:solidFill>
              <w14:schemeClr w14:val="tx1"/>
            </w14:solidFill>
          </w14:textFill>
        </w:rPr>
        <w:t>。</w:t>
      </w:r>
    </w:p>
    <w:p w14:paraId="5797D2C0">
      <w:pPr>
        <w:adjustRightInd w:val="0"/>
        <w:snapToGrid w:val="0"/>
        <w:spacing w:line="360" w:lineRule="auto"/>
        <w:ind w:firstLine="420" w:firstLineChars="200"/>
        <w:rPr>
          <w:color w:val="000000" w:themeColor="text1"/>
          <w14:textFill>
            <w14:solidFill>
              <w14:schemeClr w14:val="tx1"/>
            </w14:solidFill>
          </w14:textFill>
        </w:rPr>
      </w:pPr>
    </w:p>
    <w:p w14:paraId="767CF307">
      <w:pPr>
        <w:spacing w:line="360" w:lineRule="auto"/>
        <w:rPr>
          <w:color w:val="000000" w:themeColor="text1"/>
          <w:sz w:val="24"/>
          <w:szCs w:val="24"/>
          <w14:textFill>
            <w14:solidFill>
              <w14:schemeClr w14:val="tx1"/>
            </w14:solidFill>
          </w14:textFill>
        </w:rPr>
        <w:sectPr>
          <w:headerReference r:id="rId5" w:type="default"/>
          <w:footerReference r:id="rId6" w:type="default"/>
          <w:footerReference r:id="rId7" w:type="even"/>
          <w:pgSz w:w="11906" w:h="16838"/>
          <w:pgMar w:top="1417" w:right="1134" w:bottom="1134" w:left="1417" w:header="1020" w:footer="850" w:gutter="0"/>
          <w:pgNumType w:fmt="upperRoman" w:start="1"/>
          <w:cols w:space="0" w:num="1"/>
          <w:docGrid w:type="lines" w:linePitch="312" w:charSpace="0"/>
        </w:sectPr>
      </w:pPr>
    </w:p>
    <w:p w14:paraId="328452B3">
      <w:pPr>
        <w:spacing w:before="850" w:after="680"/>
        <w:jc w:val="center"/>
        <w:rPr>
          <w:rFonts w:hint="eastAsia" w:ascii="黑体" w:hAnsi="黑体" w:eastAsia="黑体"/>
          <w:sz w:val="32"/>
          <w:szCs w:val="32"/>
        </w:rPr>
      </w:pPr>
      <w:bookmarkStart w:id="8" w:name="_Toc395187803"/>
      <w:r>
        <w:rPr>
          <w:rFonts w:hint="eastAsia" w:ascii="黑体" w:hAnsi="黑体" w:eastAsia="黑体"/>
          <w:sz w:val="32"/>
          <w:szCs w:val="32"/>
        </w:rPr>
        <w:t>原位污染探测直推式采样与实时检测一体化系统技术指南</w:t>
      </w:r>
    </w:p>
    <w:p w14:paraId="196559F2">
      <w:pPr>
        <w:pStyle w:val="22"/>
        <w:keepNext w:val="0"/>
        <w:keepLines w:val="0"/>
        <w:pageBreakBefore w:val="0"/>
        <w:widowControl w:val="0"/>
        <w:numPr>
          <w:ilvl w:val="0"/>
          <w:numId w:val="1"/>
        </w:numPr>
        <w:kinsoku/>
        <w:wordWrap/>
        <w:overflowPunct/>
        <w:topLinePunct/>
        <w:autoSpaceDE/>
        <w:autoSpaceDN/>
        <w:bidi w:val="0"/>
        <w:adjustRightInd w:val="0"/>
        <w:snapToGrid w:val="0"/>
        <w:spacing w:before="312" w:beforeLines="100" w:after="312" w:afterLines="100"/>
        <w:ind w:left="425" w:leftChars="0" w:hanging="425" w:firstLineChars="0"/>
        <w:textAlignment w:val="auto"/>
        <w:outlineLvl w:val="0"/>
        <w:rPr>
          <w:rFonts w:hint="eastAsia" w:ascii="黑体" w:hAnsi="黑体" w:eastAsia="黑体"/>
          <w:color w:val="000000" w:themeColor="text1"/>
          <w14:textFill>
            <w14:solidFill>
              <w14:schemeClr w14:val="tx1"/>
            </w14:solidFill>
          </w14:textFill>
        </w:rPr>
      </w:pPr>
      <w:bookmarkStart w:id="9" w:name="_Toc213734821"/>
      <w:bookmarkStart w:id="10" w:name="_Toc179444621"/>
      <w:bookmarkStart w:id="11" w:name="_Toc26087"/>
      <w:bookmarkStart w:id="12" w:name="_Hlk178947322"/>
      <w:r>
        <w:rPr>
          <w:rFonts w:ascii="黑体" w:hAnsi="黑体" w:eastAsia="黑体"/>
          <w:color w:val="000000" w:themeColor="text1"/>
          <w14:textFill>
            <w14:solidFill>
              <w14:schemeClr w14:val="tx1"/>
            </w14:solidFill>
          </w14:textFill>
        </w:rPr>
        <w:t>范围</w:t>
      </w:r>
      <w:bookmarkEnd w:id="8"/>
      <w:bookmarkEnd w:id="9"/>
      <w:bookmarkEnd w:id="10"/>
      <w:bookmarkEnd w:id="11"/>
      <w:r>
        <w:rPr>
          <w:rFonts w:hint="eastAsia" w:ascii="黑体" w:hAnsi="黑体" w:eastAsia="黑体"/>
          <w:color w:val="000000" w:themeColor="text1"/>
          <w14:textFill>
            <w14:solidFill>
              <w14:schemeClr w14:val="tx1"/>
            </w14:solidFill>
          </w14:textFill>
        </w:rPr>
        <w:t xml:space="preserve">   </w:t>
      </w:r>
    </w:p>
    <w:p w14:paraId="6038663D">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本文件规定了原位污染探测直推式采样与实时检测一体化系统的系统构成、技术指标、作业流程、质量保证及安全要求。</w:t>
      </w:r>
    </w:p>
    <w:p w14:paraId="6EB71D61">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本文件适用于复杂地形条件下工业污染场地的土壤和地下水调查中该系统的选型、操作与维护。</w:t>
      </w:r>
    </w:p>
    <w:p w14:paraId="01EF0FAC">
      <w:pPr>
        <w:pStyle w:val="22"/>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13" w:name="_Toc179444622"/>
      <w:bookmarkStart w:id="14" w:name="_Toc13460"/>
      <w:bookmarkStart w:id="15" w:name="_Toc213734822"/>
      <w:r>
        <w:rPr>
          <w:rFonts w:ascii="黑体" w:hAnsi="黑体" w:eastAsia="黑体"/>
          <w:color w:val="000000" w:themeColor="text1"/>
          <w14:textFill>
            <w14:solidFill>
              <w14:schemeClr w14:val="tx1"/>
            </w14:solidFill>
          </w14:textFill>
        </w:rPr>
        <w:t>规范性引用文件</w:t>
      </w:r>
      <w:bookmarkEnd w:id="13"/>
      <w:bookmarkEnd w:id="14"/>
      <w:bookmarkEnd w:id="15"/>
    </w:p>
    <w:p w14:paraId="4B38EFA8">
      <w:pPr>
        <w:spacing w:after="156" w:afterLines="50"/>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24EE662">
      <w:pPr>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GB 36600 土壤环境质量 建设用地土壤污染风险管控标准</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试行</w:t>
      </w:r>
      <w:r>
        <w:rPr>
          <w:rFonts w:hint="eastAsia"/>
          <w:color w:val="000000" w:themeColor="text1"/>
          <w:szCs w:val="21"/>
          <w:lang w:eastAsia="zh-CN"/>
          <w14:textFill>
            <w14:solidFill>
              <w14:schemeClr w14:val="tx1"/>
            </w14:solidFill>
          </w14:textFill>
        </w:rPr>
        <w:t>）</w:t>
      </w:r>
    </w:p>
    <w:p w14:paraId="07E93318">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GB/T 14848</w:t>
      </w:r>
      <w:r>
        <w:rPr>
          <w:rFonts w:hint="eastAsia"/>
          <w:color w:val="000000" w:themeColor="text1"/>
          <w:szCs w:val="21"/>
          <w14:textFill>
            <w14:solidFill>
              <w14:schemeClr w14:val="tx1"/>
            </w14:solidFill>
          </w14:textFill>
        </w:rPr>
        <w:t>地下水质量标准</w:t>
      </w:r>
    </w:p>
    <w:p w14:paraId="1859CC01">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 25.1</w:t>
      </w:r>
      <w:r>
        <w:rPr>
          <w:rFonts w:hint="eastAsia"/>
          <w:color w:val="000000" w:themeColor="text1"/>
          <w:szCs w:val="21"/>
          <w14:textFill>
            <w14:solidFill>
              <w14:schemeClr w14:val="tx1"/>
            </w14:solidFill>
          </w14:textFill>
        </w:rPr>
        <w:t xml:space="preserve"> 建设用地土壤污染状况调查技术导则</w:t>
      </w:r>
    </w:p>
    <w:p w14:paraId="47F40340">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HJ25.2</w:t>
      </w:r>
      <w:r>
        <w:rPr>
          <w:rFonts w:hint="eastAsia"/>
          <w:color w:val="000000" w:themeColor="text1"/>
          <w:szCs w:val="21"/>
          <w14:textFill>
            <w14:solidFill>
              <w14:schemeClr w14:val="tx1"/>
            </w14:solidFill>
          </w14:textFill>
        </w:rPr>
        <w:t xml:space="preserve"> 建设用地土壤污染风险管控和修复监测技术导则</w:t>
      </w:r>
    </w:p>
    <w:p w14:paraId="772D93A0">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 494</w:t>
      </w:r>
      <w:r>
        <w:rPr>
          <w:rFonts w:hint="eastAsia"/>
          <w:color w:val="000000" w:themeColor="text1"/>
          <w:szCs w:val="21"/>
          <w14:textFill>
            <w14:solidFill>
              <w14:schemeClr w14:val="tx1"/>
            </w14:solidFill>
          </w14:textFill>
        </w:rPr>
        <w:t xml:space="preserve"> 水质 采样技术指导</w:t>
      </w:r>
    </w:p>
    <w:p w14:paraId="2A85581D">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HJ610</w:t>
      </w:r>
      <w:r>
        <w:rPr>
          <w:rFonts w:hint="eastAsia"/>
          <w:color w:val="000000" w:themeColor="text1"/>
          <w:szCs w:val="21"/>
          <w14:textFill>
            <w14:solidFill>
              <w14:schemeClr w14:val="tx1"/>
            </w14:solidFill>
          </w14:textFill>
        </w:rPr>
        <w:t xml:space="preserve"> 环境影响评价技术导则地下水环境</w:t>
      </w:r>
    </w:p>
    <w:p w14:paraId="58921518">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HJ/T166</w:t>
      </w:r>
      <w:r>
        <w:rPr>
          <w:rFonts w:hint="eastAsia"/>
          <w:color w:val="000000" w:themeColor="text1"/>
          <w:szCs w:val="21"/>
          <w14:textFill>
            <w14:solidFill>
              <w14:schemeClr w14:val="tx1"/>
            </w14:solidFill>
          </w14:textFill>
        </w:rPr>
        <w:t>土壤环境监测技术规范</w:t>
      </w:r>
    </w:p>
    <w:p w14:paraId="77401B46">
      <w:pPr>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T/ACEF150</w:t>
      </w:r>
      <w:r>
        <w:rPr>
          <w:rFonts w:hint="eastAsia"/>
          <w:color w:val="000000" w:themeColor="text1"/>
          <w:szCs w:val="21"/>
          <w14:textFill>
            <w14:solidFill>
              <w14:schemeClr w14:val="tx1"/>
            </w14:solidFill>
          </w14:textFill>
        </w:rPr>
        <w:t xml:space="preserve"> 污染场地原位修复原位污染探测直推式采样与实时检测一体化系统操作指南</w:t>
      </w:r>
    </w:p>
    <w:p w14:paraId="7163394C">
      <w:pPr>
        <w:spacing w:after="156" w:afterLines="50"/>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HG/T 20725 工业有机污染场地膜界面探测技术规范</w:t>
      </w:r>
    </w:p>
    <w:p w14:paraId="069A15F8">
      <w:pPr>
        <w:spacing w:after="156" w:afterLines="50"/>
        <w:ind w:firstLine="420" w:firstLineChars="200"/>
        <w:rPr>
          <w:color w:val="000000" w:themeColor="text1"/>
          <w:szCs w:val="21"/>
          <w14:textFill>
            <w14:solidFill>
              <w14:schemeClr w14:val="tx1"/>
            </w14:solidFill>
          </w14:textFill>
        </w:rPr>
      </w:pPr>
      <w:r>
        <w:t>DB 32/T XXXX—XXXX</w:t>
      </w:r>
      <w:r>
        <w:rPr>
          <w:rFonts w:hint="eastAsia"/>
        </w:rPr>
        <w:t xml:space="preserve"> </w:t>
      </w:r>
      <w:r>
        <w:t>直推式土壤采样技术规范</w:t>
      </w:r>
    </w:p>
    <w:p w14:paraId="60497A39">
      <w:pPr>
        <w:pStyle w:val="22"/>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16" w:name="_Toc13488"/>
      <w:bookmarkStart w:id="17" w:name="_Toc179444623"/>
      <w:bookmarkStart w:id="18" w:name="_Toc213734823"/>
      <w:bookmarkStart w:id="19" w:name="_Toc395187805"/>
      <w:r>
        <w:rPr>
          <w:rFonts w:ascii="黑体" w:hAnsi="黑体" w:eastAsia="黑体"/>
          <w:color w:val="000000" w:themeColor="text1"/>
          <w14:textFill>
            <w14:solidFill>
              <w14:schemeClr w14:val="tx1"/>
            </w14:solidFill>
          </w14:textFill>
        </w:rPr>
        <w:t>术语和定义</w:t>
      </w:r>
      <w:bookmarkEnd w:id="16"/>
      <w:bookmarkEnd w:id="17"/>
      <w:bookmarkEnd w:id="18"/>
      <w:bookmarkEnd w:id="19"/>
    </w:p>
    <w:p w14:paraId="7DE2C0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下列术语和定义适用于本文件。</w:t>
      </w:r>
    </w:p>
    <w:p w14:paraId="7EF4B9D8">
      <w:pPr>
        <w:pStyle w:val="22"/>
        <w:numPr>
          <w:ilvl w:val="1"/>
          <w:numId w:val="1"/>
        </w:numPr>
        <w:spacing w:line="480" w:lineRule="auto"/>
        <w:ind w:left="567" w:leftChars="0" w:hanging="567" w:firstLineChars="0"/>
        <w:outlineLvl w:val="1"/>
        <w:rPr>
          <w:rFonts w:hint="eastAsia" w:ascii="黑体" w:hAnsi="黑体" w:eastAsia="黑体"/>
          <w:color w:val="000000" w:themeColor="text1"/>
          <w14:textFill>
            <w14:solidFill>
              <w14:schemeClr w14:val="tx1"/>
            </w14:solidFill>
          </w14:textFill>
        </w:rPr>
      </w:pPr>
      <w:bookmarkStart w:id="20" w:name="_Toc213734824"/>
      <w:bookmarkEnd w:id="20"/>
    </w:p>
    <w:p w14:paraId="0D8A98C5">
      <w:pPr>
        <w:spacing w:after="156" w:afterLines="50" w:line="360" w:lineRule="auto"/>
        <w:ind w:firstLine="420" w:firstLineChars="200"/>
        <w:outlineLvl w:val="1"/>
        <w:rPr>
          <w:rFonts w:eastAsia="黑体"/>
          <w:color w:val="000000" w:themeColor="text1"/>
          <w14:textFill>
            <w14:solidFill>
              <w14:schemeClr w14:val="tx1"/>
            </w14:solidFill>
          </w14:textFill>
        </w:rPr>
      </w:pPr>
      <w:bookmarkStart w:id="21" w:name="_Toc213734825"/>
      <w:r>
        <w:rPr>
          <w:rFonts w:hint="eastAsia" w:ascii="宋体" w:hAnsi="宋体" w:cs="宋体"/>
          <w:color w:val="000000" w:themeColor="text1"/>
          <w14:textFill>
            <w14:solidFill>
              <w14:schemeClr w14:val="tx1"/>
            </w14:solidFill>
          </w14:textFill>
        </w:rPr>
        <w:t>原位</w:t>
      </w:r>
      <w:r>
        <w:rPr>
          <w:rFonts w:hint="eastAsia" w:ascii="宋体" w:hAnsi="宋体" w:cs="宋体"/>
          <w:color w:val="000000" w:themeColor="text1"/>
          <w:kern w:val="21"/>
          <w:szCs w:val="20"/>
          <w14:textFill>
            <w14:solidFill>
              <w14:schemeClr w14:val="tx1"/>
            </w14:solidFill>
          </w14:textFill>
        </w:rPr>
        <w:t>污染</w:t>
      </w:r>
      <w:r>
        <w:rPr>
          <w:rFonts w:hint="eastAsia" w:ascii="宋体" w:hAnsi="宋体" w:cs="宋体"/>
          <w:color w:val="000000" w:themeColor="text1"/>
          <w14:textFill>
            <w14:solidFill>
              <w14:schemeClr w14:val="tx1"/>
            </w14:solidFill>
          </w14:textFill>
        </w:rPr>
        <w:t>探测直推式采样与实时检测一体化系统</w:t>
      </w:r>
      <w:r>
        <w:rPr>
          <w:rFonts w:hint="eastAsia" w:ascii="黑体" w:hAnsi="黑体" w:eastAsia="黑体"/>
          <w:color w:val="000000" w:themeColor="text1"/>
          <w14:textFill>
            <w14:solidFill>
              <w14:schemeClr w14:val="tx1"/>
            </w14:solidFill>
          </w14:textFill>
        </w:rPr>
        <w:t xml:space="preserve"> </w:t>
      </w:r>
      <w:r>
        <w:rPr>
          <w:rFonts w:eastAsia="黑体"/>
          <w:color w:val="000000" w:themeColor="text1"/>
          <w14:textFill>
            <w14:solidFill>
              <w14:schemeClr w14:val="tx1"/>
            </w14:solidFill>
          </w14:textFill>
        </w:rPr>
        <w:t>Integrated System for In-Situ Contamination Detection with Direct Push Sampling and Real-Time Monitoring</w:t>
      </w:r>
      <w:bookmarkEnd w:id="21"/>
    </w:p>
    <w:p w14:paraId="19137671">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于直推钻进技术，通过高度集成化的模块设计，实现污染场地原位快速采样、多参数实时监测与数据分析一体化的先进调查装备。系统以直推钻机为核心平台，有机整合地下水快速取样装置、土壤重金属检测模块、多源传感器阵列（包括MIP、LIF、HPT等）</w:t>
      </w:r>
      <w:r>
        <w:rPr>
          <w:rFonts w:hint="eastAsia"/>
          <w:color w:val="000000" w:themeColor="text1"/>
          <w:szCs w:val="21"/>
          <w:lang w:eastAsia="zh-CN"/>
          <w14:textFill>
            <w14:solidFill>
              <w14:schemeClr w14:val="tx1"/>
            </w14:solidFill>
          </w14:textFill>
        </w:rPr>
        <w:t>，以及</w:t>
      </w:r>
      <w:r>
        <w:rPr>
          <w:rFonts w:hint="eastAsia"/>
          <w:color w:val="000000" w:themeColor="text1"/>
          <w:szCs w:val="21"/>
          <w14:textFill>
            <w14:solidFill>
              <w14:schemeClr w14:val="tx1"/>
            </w14:solidFill>
          </w14:textFill>
        </w:rPr>
        <w:t>智能数据管理系统，实现对土壤和地下水中有机物、重金属及水力传导率等关键指标的原位、连续、精准探测。</w:t>
      </w:r>
    </w:p>
    <w:p w14:paraId="1AB37B5C">
      <w:pPr>
        <w:pStyle w:val="22"/>
        <w:numPr>
          <w:ilvl w:val="1"/>
          <w:numId w:val="1"/>
        </w:numPr>
        <w:spacing w:line="480" w:lineRule="auto"/>
        <w:ind w:left="567" w:leftChars="0" w:hanging="567" w:firstLineChars="0"/>
        <w:outlineLvl w:val="1"/>
        <w:rPr>
          <w:rFonts w:hint="eastAsia" w:ascii="黑体" w:hAnsi="黑体" w:eastAsia="黑体"/>
          <w:color w:val="000000" w:themeColor="text1"/>
          <w14:textFill>
            <w14:solidFill>
              <w14:schemeClr w14:val="tx1"/>
            </w14:solidFill>
          </w14:textFill>
        </w:rPr>
      </w:pPr>
      <w:bookmarkStart w:id="22" w:name="_Toc213734826"/>
      <w:bookmarkEnd w:id="22"/>
      <w:bookmarkStart w:id="23" w:name="_Toc179444625"/>
    </w:p>
    <w:p w14:paraId="729035A3">
      <w:pPr>
        <w:spacing w:after="156" w:afterLines="50" w:line="360" w:lineRule="auto"/>
        <w:ind w:firstLine="420" w:firstLineChars="200"/>
        <w:outlineLvl w:val="1"/>
        <w:rPr>
          <w:color w:val="000000" w:themeColor="text1"/>
          <w14:textFill>
            <w14:solidFill>
              <w14:schemeClr w14:val="tx1"/>
            </w14:solidFill>
          </w14:textFill>
        </w:rPr>
      </w:pPr>
      <w:bookmarkStart w:id="24" w:name="_Toc213734827"/>
      <w:r>
        <w:rPr>
          <w:rFonts w:hint="eastAsia" w:ascii="宋体" w:hAnsi="宋体" w:cs="宋体"/>
          <w:color w:val="000000" w:themeColor="text1"/>
          <w14:textFill>
            <w14:solidFill>
              <w14:schemeClr w14:val="tx1"/>
            </w14:solidFill>
          </w14:textFill>
        </w:rPr>
        <w:t>膜界面探测技术</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M</w:t>
      </w:r>
      <w:r>
        <w:rPr>
          <w:color w:val="000000" w:themeColor="text1"/>
          <w14:textFill>
            <w14:solidFill>
              <w14:schemeClr w14:val="tx1"/>
            </w14:solidFill>
          </w14:textFill>
        </w:rPr>
        <w:t>embrane interface probe, MIP</w:t>
      </w:r>
      <w:bookmarkEnd w:id="23"/>
      <w:bookmarkEnd w:id="24"/>
    </w:p>
    <w:p w14:paraId="2166976B">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利用将带有半透膜的加热探头推进至土壤深处，使地下的挥发性有机物扩散穿过半透膜进入载气流并被输送至地面进行检测，实现对土壤、地下水中</w:t>
      </w:r>
      <w:r>
        <w:rPr>
          <w:rFonts w:hint="eastAsia"/>
          <w:color w:val="000000" w:themeColor="text1"/>
          <w:szCs w:val="21"/>
          <w14:textFill>
            <w14:solidFill>
              <w14:schemeClr w14:val="tx1"/>
            </w14:solidFill>
          </w14:textFill>
        </w:rPr>
        <w:t>有机</w:t>
      </w:r>
      <w:r>
        <w:rPr>
          <w:color w:val="000000" w:themeColor="text1"/>
          <w:szCs w:val="21"/>
          <w14:textFill>
            <w14:solidFill>
              <w14:schemeClr w14:val="tx1"/>
            </w14:solidFill>
          </w14:textFill>
        </w:rPr>
        <w:t>污染物浓度实时、连续检测</w:t>
      </w:r>
      <w:r>
        <w:rPr>
          <w:rFonts w:hint="eastAsia"/>
          <w:color w:val="000000" w:themeColor="text1"/>
          <w:szCs w:val="21"/>
          <w14:textFill>
            <w14:solidFill>
              <w14:schemeClr w14:val="tx1"/>
            </w14:solidFill>
          </w14:textFill>
        </w:rPr>
        <w:t>。</w:t>
      </w:r>
    </w:p>
    <w:p w14:paraId="77CB983E">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[引自HG/T 20725 工业有机污染场地膜界面探测技术规范]</w:t>
      </w:r>
    </w:p>
    <w:p w14:paraId="589C8173">
      <w:pPr>
        <w:pStyle w:val="22"/>
        <w:numPr>
          <w:ilvl w:val="1"/>
          <w:numId w:val="1"/>
        </w:numPr>
        <w:spacing w:line="480" w:lineRule="auto"/>
        <w:ind w:left="567" w:leftChars="0" w:hanging="567" w:firstLineChars="0"/>
        <w:outlineLvl w:val="1"/>
        <w:rPr>
          <w:rFonts w:hint="eastAsia" w:ascii="黑体" w:hAnsi="黑体" w:eastAsia="黑体"/>
          <w:color w:val="000000" w:themeColor="text1"/>
          <w14:textFill>
            <w14:solidFill>
              <w14:schemeClr w14:val="tx1"/>
            </w14:solidFill>
          </w14:textFill>
        </w:rPr>
      </w:pPr>
      <w:bookmarkStart w:id="25" w:name="_Toc213734828"/>
      <w:bookmarkEnd w:id="25"/>
      <w:bookmarkStart w:id="26" w:name="_Toc179444626"/>
    </w:p>
    <w:p w14:paraId="071F0D98">
      <w:pPr>
        <w:spacing w:after="156" w:afterLines="50" w:line="360" w:lineRule="auto"/>
        <w:ind w:firstLine="420" w:firstLineChars="200"/>
        <w:outlineLvl w:val="1"/>
        <w:rPr>
          <w:color w:val="000000" w:themeColor="text1"/>
          <w14:textFill>
            <w14:solidFill>
              <w14:schemeClr w14:val="tx1"/>
            </w14:solidFill>
          </w14:textFill>
        </w:rPr>
      </w:pPr>
      <w:bookmarkStart w:id="27" w:name="_Toc213734829"/>
      <w:r>
        <w:rPr>
          <w:rFonts w:hint="eastAsia" w:ascii="宋体" w:hAnsi="宋体" w:cs="宋体"/>
          <w:color w:val="000000" w:themeColor="text1"/>
          <w14:textFill>
            <w14:solidFill>
              <w14:schemeClr w14:val="tx1"/>
            </w14:solidFill>
          </w14:textFill>
        </w:rPr>
        <w:t xml:space="preserve">激光诱导检测仪 </w:t>
      </w:r>
      <w:r>
        <w:rPr>
          <w:color w:val="000000" w:themeColor="text1"/>
          <w14:textFill>
            <w14:solidFill>
              <w14:schemeClr w14:val="tx1"/>
            </w14:solidFill>
          </w14:textFill>
        </w:rPr>
        <w:t>Laser Induced Fluorescence， LIF</w:t>
      </w:r>
      <w:bookmarkEnd w:id="26"/>
      <w:bookmarkEnd w:id="27"/>
    </w:p>
    <w:p w14:paraId="4D593A83">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一种利用激光作为激发光源，通过检测样品发出的荧光光谱来进行定性定量分析的技术。</w:t>
      </w:r>
      <w:r>
        <w:rPr>
          <w:rFonts w:hint="eastAsia"/>
          <w:color w:val="000000" w:themeColor="text1"/>
          <w:szCs w:val="21"/>
          <w14:textFill>
            <w14:solidFill>
              <w14:schemeClr w14:val="tx1"/>
            </w14:solidFill>
          </w14:textFill>
        </w:rPr>
        <w:t>可用于</w:t>
      </w:r>
      <w:r>
        <w:rPr>
          <w:color w:val="000000" w:themeColor="text1"/>
          <w:szCs w:val="21"/>
          <w14:textFill>
            <w14:solidFill>
              <w14:schemeClr w14:val="tx1"/>
            </w14:solidFill>
          </w14:textFill>
        </w:rPr>
        <w:t>检测水中的重金属离子、有机污染物等</w:t>
      </w:r>
      <w:r>
        <w:rPr>
          <w:rFonts w:hint="eastAsia"/>
          <w:color w:val="000000" w:themeColor="text1"/>
          <w:szCs w:val="21"/>
          <w14:textFill>
            <w14:solidFill>
              <w14:schemeClr w14:val="tx1"/>
            </w14:solidFill>
          </w14:textFill>
        </w:rPr>
        <w:t>。</w:t>
      </w:r>
    </w:p>
    <w:p w14:paraId="73269990">
      <w:pPr>
        <w:pStyle w:val="22"/>
        <w:numPr>
          <w:ilvl w:val="1"/>
          <w:numId w:val="1"/>
        </w:numPr>
        <w:spacing w:line="480" w:lineRule="auto"/>
        <w:ind w:left="567" w:leftChars="0" w:hanging="567" w:firstLineChars="0"/>
        <w:outlineLvl w:val="1"/>
        <w:rPr>
          <w:rFonts w:hint="eastAsia" w:ascii="黑体" w:hAnsi="黑体" w:eastAsia="黑体"/>
          <w:color w:val="000000" w:themeColor="text1"/>
          <w14:textFill>
            <w14:solidFill>
              <w14:schemeClr w14:val="tx1"/>
            </w14:solidFill>
          </w14:textFill>
        </w:rPr>
      </w:pPr>
      <w:bookmarkStart w:id="28" w:name="_Toc213734830"/>
      <w:bookmarkEnd w:id="28"/>
      <w:bookmarkStart w:id="29" w:name="_Toc179444627"/>
    </w:p>
    <w:p w14:paraId="2ADE31AF">
      <w:pPr>
        <w:spacing w:after="156" w:afterLines="50" w:line="360" w:lineRule="auto"/>
        <w:ind w:firstLine="420" w:firstLineChars="200"/>
        <w:outlineLvl w:val="1"/>
        <w:rPr>
          <w:rFonts w:eastAsia="黑体"/>
          <w:color w:val="000000" w:themeColor="text1"/>
          <w14:textFill>
            <w14:solidFill>
              <w14:schemeClr w14:val="tx1"/>
            </w14:solidFill>
          </w14:textFill>
        </w:rPr>
      </w:pPr>
      <w:bookmarkStart w:id="30" w:name="_Toc213734831"/>
      <w:r>
        <w:rPr>
          <w:rFonts w:hint="eastAsia" w:ascii="宋体" w:hAnsi="宋体" w:cs="宋体"/>
          <w:color w:val="000000" w:themeColor="text1"/>
          <w14:textFill>
            <w14:solidFill>
              <w14:schemeClr w14:val="tx1"/>
            </w14:solidFill>
          </w14:textFill>
        </w:rPr>
        <w:t xml:space="preserve">水力剖面探测仪 </w:t>
      </w:r>
      <w:r>
        <w:rPr>
          <w:rFonts w:eastAsia="黑体"/>
          <w:color w:val="000000" w:themeColor="text1"/>
          <w14:textFill>
            <w14:solidFill>
              <w14:schemeClr w14:val="tx1"/>
            </w14:solidFill>
          </w14:textFill>
        </w:rPr>
        <w:t>Hydraulic Profiling Tool, HPT</w:t>
      </w:r>
      <w:bookmarkEnd w:id="29"/>
      <w:bookmarkEnd w:id="30"/>
    </w:p>
    <w:p w14:paraId="2924D088">
      <w:pPr>
        <w:spacing w:line="360" w:lineRule="auto"/>
        <w:ind w:firstLine="420" w:firstLineChars="200"/>
        <w:rPr>
          <w:color w:val="000000" w:themeColor="text1"/>
          <w:szCs w:val="21"/>
          <w14:textFill>
            <w14:solidFill>
              <w14:schemeClr w14:val="tx1"/>
            </w14:solidFill>
          </w14:textFill>
        </w:rPr>
      </w:pPr>
      <w:bookmarkStart w:id="31" w:name="_Hlk178948747"/>
      <w:r>
        <w:rPr>
          <w:rFonts w:hint="eastAsia"/>
          <w:color w:val="000000" w:themeColor="text1"/>
          <w:szCs w:val="21"/>
          <w14:textFill>
            <w14:solidFill>
              <w14:schemeClr w14:val="tx1"/>
            </w14:solidFill>
          </w14:textFill>
        </w:rPr>
        <w:t>又称透水性分析仪，</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是基于直推贯入原理，通过实时监测注水压力变化与土壤电导率特征，实现地层水力特性原位精准探测的专业环境调查装备。该仪器通过将特制探测棒贯入地下，同步记录注入水压、电导率及贯入阻力等多参数数据，为污染场地的水文地质特征分析提供量化依据。</w:t>
      </w:r>
      <w:bookmarkEnd w:id="31"/>
      <w:r>
        <w:rPr>
          <w:rFonts w:hint="eastAsia"/>
          <w:color w:val="000000" w:themeColor="text1"/>
          <w:szCs w:val="21"/>
          <w14:textFill>
            <w14:solidFill>
              <w14:schemeClr w14:val="tx1"/>
            </w14:solidFill>
          </w14:textFill>
        </w:rPr>
        <w:t>HPT被用来检测水力传导率，电导率（EC），流体静力面，以及地质渗透现象。</w:t>
      </w:r>
    </w:p>
    <w:p w14:paraId="0460AF9A">
      <w:pPr>
        <w:pStyle w:val="22"/>
        <w:numPr>
          <w:ilvl w:val="1"/>
          <w:numId w:val="1"/>
        </w:numPr>
        <w:spacing w:line="480" w:lineRule="auto"/>
        <w:ind w:left="567" w:leftChars="0" w:hanging="567" w:firstLineChars="0"/>
        <w:outlineLvl w:val="1"/>
        <w:rPr>
          <w:rFonts w:hint="eastAsia" w:ascii="黑体" w:hAnsi="黑体" w:eastAsia="黑体"/>
          <w:color w:val="000000" w:themeColor="text1"/>
          <w14:textFill>
            <w14:solidFill>
              <w14:schemeClr w14:val="tx1"/>
            </w14:solidFill>
          </w14:textFill>
        </w:rPr>
      </w:pPr>
      <w:bookmarkStart w:id="32" w:name="_Toc213734832"/>
      <w:bookmarkEnd w:id="32"/>
      <w:bookmarkStart w:id="33" w:name="_Toc179444628"/>
    </w:p>
    <w:p w14:paraId="0C3D5149">
      <w:pPr>
        <w:spacing w:after="156" w:afterLines="50" w:line="360" w:lineRule="auto"/>
        <w:ind w:firstLine="420" w:firstLineChars="200"/>
        <w:outlineLvl w:val="1"/>
        <w:rPr>
          <w:color w:val="000000" w:themeColor="text1"/>
          <w:szCs w:val="21"/>
          <w14:textFill>
            <w14:solidFill>
              <w14:schemeClr w14:val="tx1"/>
            </w14:solidFill>
          </w14:textFill>
        </w:rPr>
      </w:pPr>
      <w:bookmarkStart w:id="34" w:name="_Toc213734833"/>
      <w:r>
        <w:rPr>
          <w:rFonts w:hint="eastAsia" w:ascii="宋体" w:hAnsi="宋体" w:cs="宋体"/>
          <w:color w:val="000000" w:themeColor="text1"/>
          <w:kern w:val="21"/>
          <w:szCs w:val="20"/>
          <w14:textFill>
            <w14:solidFill>
              <w14:schemeClr w14:val="tx1"/>
            </w14:solidFill>
          </w14:textFill>
        </w:rPr>
        <w:t>阳极溶出伏安法</w:t>
      </w:r>
      <w:r>
        <w:rPr>
          <w:rFonts w:hint="eastAsia"/>
          <w:color w:val="000000" w:themeColor="text1"/>
          <w:szCs w:val="21"/>
          <w14:textFill>
            <w14:solidFill>
              <w14:schemeClr w14:val="tx1"/>
            </w14:solidFill>
          </w14:textFill>
        </w:rPr>
        <w:t xml:space="preserve">   </w:t>
      </w:r>
      <w:r>
        <w:rPr>
          <w:rFonts w:hint="eastAsia"/>
          <w:color w:val="000000" w:themeColor="text1"/>
          <w:szCs w:val="21"/>
          <w:shd w:val="clear" w:color="auto" w:fill="FFFFFF"/>
          <w14:textFill>
            <w14:solidFill>
              <w14:schemeClr w14:val="tx1"/>
            </w14:solidFill>
          </w14:textFill>
        </w:rPr>
        <w:t>Anodic Stripping Voltammetry,ASV</w:t>
      </w:r>
      <w:bookmarkEnd w:id="33"/>
      <w:bookmarkEnd w:id="34"/>
    </w:p>
    <w:p w14:paraId="276402B0">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阳极溶出伏安法（</w:t>
      </w:r>
      <w:r>
        <w:rPr>
          <w:color w:val="000000" w:themeColor="text1"/>
          <w:szCs w:val="21"/>
          <w14:textFill>
            <w14:solidFill>
              <w14:schemeClr w14:val="tx1"/>
            </w14:solidFill>
          </w14:textFill>
        </w:rPr>
        <w:t>ASV</w:t>
      </w:r>
      <w:r>
        <w:rPr>
          <w:rFonts w:hint="eastAsia"/>
          <w:color w:val="000000" w:themeColor="text1"/>
          <w:szCs w:val="21"/>
          <w14:textFill>
            <w14:solidFill>
              <w14:schemeClr w14:val="tx1"/>
            </w14:solidFill>
          </w14:textFill>
        </w:rPr>
        <w:t>）是一种高灵敏度的电化学分析技术，通过电沉积</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溶出两个关键步骤，实现对水中痕量重金属离子的精准检测。该方法首先在特定还原电位下将目标金属离子电沉积于工作电极表面，随后施加反向扫描电压使沉积的金属氧化溶出，通过分析溶出过程的电流</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电压曲线，实现重金属离子的定性与定量分析。</w:t>
      </w:r>
    </w:p>
    <w:p w14:paraId="42C7D103">
      <w:pPr>
        <w:pStyle w:val="22"/>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35" w:name="_Toc16675"/>
      <w:bookmarkStart w:id="36" w:name="_Toc213734834"/>
      <w:r>
        <w:rPr>
          <w:rFonts w:hint="eastAsia" w:ascii="黑体" w:hAnsi="黑体" w:eastAsia="黑体"/>
          <w:color w:val="000000" w:themeColor="text1"/>
          <w14:textFill>
            <w14:solidFill>
              <w14:schemeClr w14:val="tx1"/>
            </w14:solidFill>
          </w14:textFill>
        </w:rPr>
        <w:t>系统技术要求</w:t>
      </w:r>
      <w:bookmarkEnd w:id="35"/>
      <w:bookmarkEnd w:id="36"/>
    </w:p>
    <w:p w14:paraId="06AA26FA">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37" w:name="_Toc179445062"/>
      <w:bookmarkStart w:id="38" w:name="_Toc213734835"/>
      <w:r>
        <w:rPr>
          <w:rFonts w:hint="eastAsia" w:ascii="黑体" w:hAnsi="黑体" w:eastAsia="黑体"/>
          <w:color w:val="000000" w:themeColor="text1"/>
          <w:szCs w:val="21"/>
          <w14:textFill>
            <w14:solidFill>
              <w14:schemeClr w14:val="tx1"/>
            </w14:solidFill>
          </w14:textFill>
        </w:rPr>
        <w:t>系统集成</w:t>
      </w:r>
      <w:bookmarkEnd w:id="37"/>
      <w:r>
        <w:rPr>
          <w:rFonts w:hint="eastAsia" w:ascii="黑体" w:hAnsi="黑体" w:eastAsia="黑体"/>
          <w:color w:val="000000" w:themeColor="text1"/>
          <w:szCs w:val="21"/>
          <w14:textFill>
            <w14:solidFill>
              <w14:schemeClr w14:val="tx1"/>
            </w14:solidFill>
          </w14:textFill>
        </w:rPr>
        <w:t>要求</w:t>
      </w:r>
      <w:bookmarkEnd w:id="38"/>
    </w:p>
    <w:p w14:paraId="48A5F1DA">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系统由直推钻进钻机平台、膜界面探测系统、土壤采样系统、地下水取样检测一体化装置、土壤重金属检测装置、测量及数据处理系统等分系统组成（图1）。集成应满足下列要求：</w:t>
      </w:r>
    </w:p>
    <w:p w14:paraId="213C1868">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模块化集成设计，采用标准化接口协议，确保直推钻</w:t>
      </w:r>
      <w:r>
        <w:rPr>
          <w:rFonts w:hint="eastAsia"/>
          <w:color w:val="000000" w:themeColor="text1"/>
          <w:szCs w:val="21"/>
          <w:lang w:val="en-US" w:eastAsia="zh-CN"/>
          <w14:textFill>
            <w14:solidFill>
              <w14:schemeClr w14:val="tx1"/>
            </w14:solidFill>
          </w14:textFill>
        </w:rPr>
        <w:t>机</w:t>
      </w:r>
      <w:r>
        <w:rPr>
          <w:rFonts w:hint="eastAsia"/>
          <w:color w:val="000000" w:themeColor="text1"/>
          <w:szCs w:val="21"/>
          <w14:textFill>
            <w14:solidFill>
              <w14:schemeClr w14:val="tx1"/>
            </w14:solidFill>
          </w14:textFill>
        </w:rPr>
        <w:t>平台、探测模块和数据分析系统的无缝对接，各功能模块（MIP、LIF、HPT、ASV）应实现物理连接与数据通信的完全兼容，系统集成度需满足单次贯入完成采样、探测、数据分析的全流程作业。</w:t>
      </w:r>
    </w:p>
    <w:p w14:paraId="198109F4">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硬件集成规范，钻机平台承载能力需适配所有探测模块的总重量，供电系统应支持各模块的峰值功耗需求，液压管路和线缆布局需符合防干扰设计要求。</w:t>
      </w:r>
    </w:p>
    <w:p w14:paraId="066783A7">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color w:val="000000" w:themeColor="text1"/>
          <w:szCs w:val="21"/>
          <w14:textFill>
            <w14:solidFill>
              <w14:schemeClr w14:val="tx1"/>
            </w14:solidFill>
          </w14:textFill>
        </w:rPr>
      </w:pPr>
      <w:r>
        <w:drawing>
          <wp:inline distT="0" distB="0" distL="0" distR="0">
            <wp:extent cx="5213350" cy="3109595"/>
            <wp:effectExtent l="0" t="0" r="6350" b="0"/>
            <wp:docPr id="2" name="Picture 2" descr="C:\Users\asus-1\AppData\Local\Temp\WeChat Files\3ca573d0c646400c934e763ed66d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sus-1\AppData\Local\Temp\WeChat Files\3ca573d0c646400c934e763ed66d22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5569" cy="3110943"/>
                    </a:xfrm>
                    <a:prstGeom prst="rect">
                      <a:avLst/>
                    </a:prstGeom>
                    <a:noFill/>
                  </pic:spPr>
                </pic:pic>
              </a:graphicData>
            </a:graphic>
          </wp:inline>
        </w:drawing>
      </w:r>
    </w:p>
    <w:p w14:paraId="4C323F03">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图1 原位污染探测直推式采样与实时检测一体化系统组成</w:t>
      </w:r>
    </w:p>
    <w:p w14:paraId="3EA82969">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39" w:name="_Toc213734836"/>
      <w:r>
        <w:rPr>
          <w:rFonts w:hint="eastAsia" w:ascii="黑体" w:hAnsi="黑体" w:eastAsia="黑体"/>
          <w:color w:val="000000" w:themeColor="text1"/>
          <w:szCs w:val="21"/>
          <w14:textFill>
            <w14:solidFill>
              <w14:schemeClr w14:val="tx1"/>
            </w14:solidFill>
          </w14:textFill>
        </w:rPr>
        <w:t>关键技术集成</w:t>
      </w:r>
      <w:bookmarkEnd w:id="39"/>
    </w:p>
    <w:p w14:paraId="54497A62">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bookmarkStart w:id="40" w:name="_Toc213734837"/>
      <w:r>
        <w:rPr>
          <w:rFonts w:hint="eastAsia" w:ascii="黑体" w:hAnsi="黑体" w:eastAsia="黑体" w:cs="黑体"/>
          <w:color w:val="000000" w:themeColor="text1"/>
          <w:szCs w:val="21"/>
          <w14:textFill>
            <w14:solidFill>
              <w14:schemeClr w14:val="tx1"/>
            </w14:solidFill>
          </w14:textFill>
        </w:rPr>
        <w:t>4.2.1</w:t>
      </w:r>
      <w:bookmarkStart w:id="41" w:name="_Toc31624"/>
      <w:r>
        <w:rPr>
          <w:rFonts w:hint="eastAsia" w:ascii="黑体" w:hAnsi="黑体" w:eastAsia="黑体"/>
          <w:color w:val="000000" w:themeColor="text1"/>
          <w:szCs w:val="21"/>
          <w14:textFill>
            <w14:solidFill>
              <w14:schemeClr w14:val="tx1"/>
            </w14:solidFill>
          </w14:textFill>
        </w:rPr>
        <w:t>探测模块协同</w:t>
      </w:r>
      <w:bookmarkEnd w:id="40"/>
      <w:bookmarkEnd w:id="41"/>
    </w:p>
    <w:p w14:paraId="21E8E841">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时序控制：各探测模块需实现毫秒级同步触发；空间定位：所有探测数据需统一坐标系统和深度基准；参数耦合：建立多源探测数据的交叉验证机制。</w:t>
      </w:r>
    </w:p>
    <w:p w14:paraId="7F22D99B">
      <w:pPr>
        <w:spacing w:before="312" w:beforeLines="100" w:after="312" w:afterLines="100"/>
        <w:outlineLvl w:val="2"/>
        <w:rPr>
          <w:rFonts w:eastAsia="黑体"/>
          <w:color w:val="000000" w:themeColor="text1"/>
          <w:szCs w:val="21"/>
          <w14:textFill>
            <w14:solidFill>
              <w14:schemeClr w14:val="tx1"/>
            </w14:solidFill>
          </w14:textFill>
        </w:rPr>
      </w:pPr>
      <w:bookmarkStart w:id="42" w:name="_Toc213734838"/>
      <w:r>
        <w:rPr>
          <w:rFonts w:hint="eastAsia" w:ascii="黑体" w:hAnsi="黑体" w:eastAsia="黑体" w:cs="黑体"/>
          <w:color w:val="000000" w:themeColor="text1"/>
          <w:szCs w:val="21"/>
          <w14:textFill>
            <w14:solidFill>
              <w14:schemeClr w14:val="tx1"/>
            </w14:solidFill>
          </w14:textFill>
        </w:rPr>
        <w:t xml:space="preserve">4.2.2 </w:t>
      </w:r>
      <w:r>
        <w:rPr>
          <w:rFonts w:hint="eastAsia" w:eastAsia="黑体"/>
          <w:color w:val="000000" w:themeColor="text1"/>
          <w:szCs w:val="21"/>
          <w14:textFill>
            <w14:solidFill>
              <w14:schemeClr w14:val="tx1"/>
            </w14:solidFill>
          </w14:textFill>
        </w:rPr>
        <w:t>数据集成管理要求</w:t>
      </w:r>
      <w:bookmarkEnd w:id="42"/>
    </w:p>
    <w:p w14:paraId="770300E6">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数据采集，统一时间戳和深度标识，时间同步误差≤1</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ms；数据传输，实时无线/有线双模传输延迟≤100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ms；数据存储，标准化格式（JSON/XML）符合T/ACEF 150规范；数据融合，多源数据关联分析建立数据质量评估体系。</w:t>
      </w:r>
    </w:p>
    <w:p w14:paraId="49465F7B">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43" w:name="_Toc213734839"/>
      <w:r>
        <w:rPr>
          <w:rFonts w:hint="eastAsia" w:ascii="黑体" w:hAnsi="黑体" w:eastAsia="黑体"/>
          <w:color w:val="000000" w:themeColor="text1"/>
          <w:szCs w:val="21"/>
          <w14:textFill>
            <w14:solidFill>
              <w14:schemeClr w14:val="tx1"/>
            </w14:solidFill>
          </w14:textFill>
        </w:rPr>
        <w:t>接口协议标准</w:t>
      </w:r>
      <w:bookmarkEnd w:id="43"/>
    </w:p>
    <w:p w14:paraId="2BC9C920">
      <w:pPr>
        <w:spacing w:after="156" w:afterLines="50" w:line="360" w:lineRule="auto"/>
        <w:ind w:firstLine="420" w:firstLineChars="200"/>
        <w:rPr>
          <w:color w:val="000000" w:themeColor="text1"/>
          <w:szCs w:val="21"/>
          <w14:textFill>
            <w14:solidFill>
              <w14:schemeClr w14:val="tx1"/>
            </w14:solidFill>
          </w14:textFill>
        </w:rPr>
      </w:pPr>
      <w:bookmarkStart w:id="44" w:name="_Toc10737"/>
      <w:r>
        <w:rPr>
          <w:color w:val="000000" w:themeColor="text1"/>
          <w:szCs w:val="21"/>
          <w14:textFill>
            <w14:solidFill>
              <w14:schemeClr w14:val="tx1"/>
            </w14:solidFill>
          </w14:textFill>
        </w:rPr>
        <w:t>机械接口标准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钻杆连接采用API标准螺纹规格</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模块安装基座公差控制在±0.1</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mm以内</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防水等级达到IP67标准</w:t>
      </w:r>
      <w:r>
        <w:rPr>
          <w:rFonts w:hint="eastAsia"/>
          <w:color w:val="000000" w:themeColor="text1"/>
          <w:szCs w:val="21"/>
          <w14:textFill>
            <w14:solidFill>
              <w14:schemeClr w14:val="tx1"/>
            </w14:solidFill>
          </w14:textFill>
        </w:rPr>
        <w:t>。</w:t>
      </w:r>
      <w:bookmarkEnd w:id="44"/>
    </w:p>
    <w:p w14:paraId="7735A97D">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电气接口规范</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供电电压：24VDC±5%；通信协议：Modbus RTU/CAN总线；信号隔离：光电隔离，抗干扰≥80</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dB。</w:t>
      </w:r>
    </w:p>
    <w:p w14:paraId="60B40A95">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数据接口协议</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实时数据流采用WebSocket协议</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文件传输支持FTP/HTTP标准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数据格式符合HJ/T 212通信规范</w:t>
      </w:r>
      <w:r>
        <w:rPr>
          <w:rFonts w:hint="eastAsia"/>
          <w:color w:val="000000" w:themeColor="text1"/>
          <w:szCs w:val="21"/>
          <w14:textFill>
            <w14:solidFill>
              <w14:schemeClr w14:val="tx1"/>
            </w14:solidFill>
          </w14:textFill>
        </w:rPr>
        <w:t>。</w:t>
      </w:r>
    </w:p>
    <w:p w14:paraId="7606DECD">
      <w:pPr>
        <w:pStyle w:val="22"/>
        <w:keepNext w:val="0"/>
        <w:keepLines w:val="0"/>
        <w:pageBreakBefore w:val="0"/>
        <w:widowControl w:val="0"/>
        <w:numPr>
          <w:ilvl w:val="1"/>
          <w:numId w:val="1"/>
        </w:numPr>
        <w:kinsoku/>
        <w:wordWrap/>
        <w:overflowPunct/>
        <w:topLinePunct/>
        <w:autoSpaceDE/>
        <w:autoSpaceDN/>
        <w:bidi w:val="0"/>
        <w:adjustRightInd w:val="0"/>
        <w:snapToGrid/>
        <w:spacing w:before="312" w:beforeLines="100" w:after="312" w:afterLines="100"/>
        <w:ind w:left="567" w:leftChars="0" w:hanging="567" w:firstLineChars="0"/>
        <w:textAlignment w:val="auto"/>
        <w:outlineLvl w:val="1"/>
        <w:rPr>
          <w:rFonts w:hint="eastAsia" w:ascii="黑体" w:hAnsi="黑体" w:eastAsia="黑体"/>
          <w:color w:val="000000" w:themeColor="text1"/>
          <w:szCs w:val="21"/>
          <w14:textFill>
            <w14:solidFill>
              <w14:schemeClr w14:val="tx1"/>
            </w14:solidFill>
          </w14:textFill>
        </w:rPr>
      </w:pPr>
      <w:bookmarkStart w:id="45" w:name="_Toc213734840"/>
      <w:r>
        <w:rPr>
          <w:rFonts w:hint="eastAsia" w:ascii="黑体" w:hAnsi="黑体" w:eastAsia="黑体"/>
          <w:color w:val="000000" w:themeColor="text1"/>
          <w:szCs w:val="21"/>
          <w14:textFill>
            <w14:solidFill>
              <w14:schemeClr w14:val="tx1"/>
            </w14:solidFill>
          </w14:textFill>
        </w:rPr>
        <w:t>系统性能指标</w:t>
      </w:r>
      <w:bookmarkEnd w:id="45"/>
    </w:p>
    <w:p w14:paraId="72CE2ABE">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可靠性</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平均无故障时间（MTBF）≥1000小时</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环境适应性：-20</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~50</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正常工作</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防护等级：全系统IP65防护标准</w:t>
      </w:r>
      <w:r>
        <w:rPr>
          <w:rFonts w:hint="eastAsia"/>
          <w:color w:val="000000" w:themeColor="text1"/>
          <w:szCs w:val="21"/>
          <w14:textFill>
            <w14:solidFill>
              <w14:schemeClr w14:val="tx1"/>
            </w14:solidFill>
          </w14:textFill>
        </w:rPr>
        <w:t>。</w:t>
      </w:r>
    </w:p>
    <w:p w14:paraId="6B3D6EBB">
      <w:pPr>
        <w:spacing w:after="156" w:afterLines="50" w:line="360" w:lineRule="auto"/>
        <w:ind w:firstLine="420" w:firstLineChars="200"/>
        <w:rPr>
          <w:rFonts w:hint="eastAsia"/>
        </w:rPr>
      </w:pPr>
      <w:r>
        <w:rPr>
          <w:color w:val="000000" w:themeColor="text1"/>
          <w:szCs w:val="21"/>
          <w14:textFill>
            <w14:solidFill>
              <w14:schemeClr w14:val="tx1"/>
            </w14:solidFill>
          </w14:textFill>
        </w:rPr>
        <w:t>精度</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深度定位误差：≤0.1%测量深度</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时间同步误差：≤1</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ms</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数据采集完整率：≥99.9%</w:t>
      </w:r>
      <w:r>
        <w:rPr>
          <w:rFonts w:hint="eastAsia"/>
          <w:color w:val="000000" w:themeColor="text1"/>
          <w:szCs w:val="21"/>
          <w14:textFill>
            <w14:solidFill>
              <w14:schemeClr w14:val="tx1"/>
            </w14:solidFill>
          </w14:textFill>
        </w:rPr>
        <w:t>。</w:t>
      </w:r>
    </w:p>
    <w:p w14:paraId="5A2A3C8A">
      <w:pPr>
        <w:pStyle w:val="22"/>
        <w:keepNext w:val="0"/>
        <w:keepLines w:val="0"/>
        <w:pageBreakBefore w:val="0"/>
        <w:widowControl w:val="0"/>
        <w:numPr>
          <w:ilvl w:val="1"/>
          <w:numId w:val="1"/>
        </w:numPr>
        <w:kinsoku/>
        <w:wordWrap/>
        <w:overflowPunct/>
        <w:topLinePunct/>
        <w:autoSpaceDE/>
        <w:autoSpaceDN/>
        <w:bidi w:val="0"/>
        <w:adjustRightInd w:val="0"/>
        <w:snapToGrid/>
        <w:spacing w:before="312" w:beforeLines="100" w:after="312" w:afterLines="100"/>
        <w:ind w:left="567" w:leftChars="0" w:hanging="567" w:firstLineChars="0"/>
        <w:textAlignment w:val="auto"/>
        <w:outlineLvl w:val="1"/>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传输可靠性要求</w:t>
      </w:r>
    </w:p>
    <w:p w14:paraId="20A3DA8C">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应建立超时重发机制。一个请求命令发出后，在规定的时间内未收到回应，视为超时；超时后应自动重发 。</w:t>
      </w:r>
    </w:p>
    <w:p w14:paraId="28E7B11E">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应支持自动重连功能，在网络连接意外断开后，系统应能自动尝试重新建立连接。</w:t>
      </w:r>
    </w:p>
    <w:p w14:paraId="7ABB1F35">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宜支持数据缓存功能，在网络中断时暂存数据，待网络恢复后自动上传 。</w:t>
      </w:r>
    </w:p>
    <w:p w14:paraId="3B49348D">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rPr>
      </w:pPr>
      <w:r>
        <w:rPr>
          <w:rFonts w:hint="eastAsia" w:ascii="Helvetica" w:hAnsi="Helvetica" w:cs="Helvetica"/>
          <w:color w:val="333333"/>
          <w:szCs w:val="21"/>
          <w:shd w:val="clear" w:color="auto" w:fill="FFFFFF"/>
        </w:rPr>
        <w:t>宜支持断点续传功能，以实现在大数据文件传输中断后从中断处恢复传输 。</w:t>
      </w:r>
    </w:p>
    <w:p w14:paraId="2ED7443C">
      <w:pPr>
        <w:pStyle w:val="22"/>
        <w:keepNext w:val="0"/>
        <w:keepLines w:val="0"/>
        <w:pageBreakBefore w:val="0"/>
        <w:widowControl w:val="0"/>
        <w:numPr>
          <w:ilvl w:val="1"/>
          <w:numId w:val="1"/>
        </w:numPr>
        <w:kinsoku/>
        <w:wordWrap/>
        <w:overflowPunct/>
        <w:topLinePunct/>
        <w:autoSpaceDE/>
        <w:autoSpaceDN/>
        <w:bidi w:val="0"/>
        <w:adjustRightInd w:val="0"/>
        <w:snapToGrid/>
        <w:spacing w:before="312" w:beforeLines="100" w:after="312" w:afterLines="100"/>
        <w:ind w:left="567" w:leftChars="0" w:hanging="567" w:firstLineChars="0"/>
        <w:textAlignment w:val="auto"/>
        <w:outlineLvl w:val="1"/>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数据完整性与安全性要求</w:t>
      </w:r>
    </w:p>
    <w:p w14:paraId="251B2C5B">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数据完整性：应采用数据校验机</w:t>
      </w:r>
      <w:r>
        <w:rPr>
          <w:rFonts w:hint="default" w:ascii="Times New Roman" w:hAnsi="Times New Roman" w:cs="Times New Roman"/>
          <w:color w:val="333333"/>
          <w:szCs w:val="21"/>
          <w:shd w:val="clear" w:color="auto" w:fill="FFFFFF"/>
        </w:rPr>
        <w:t>制，如循环冗余校验（CRC） 或循</w:t>
      </w:r>
      <w:r>
        <w:rPr>
          <w:rFonts w:hint="eastAsia" w:ascii="Helvetica" w:hAnsi="Helvetica" w:cs="Helvetica"/>
          <w:color w:val="333333"/>
          <w:szCs w:val="21"/>
          <w:shd w:val="clear" w:color="auto" w:fill="FFFFFF"/>
        </w:rPr>
        <w:t>环异或校验 ，以确保数据在传输过程中未被篡改或损坏。</w:t>
      </w:r>
    </w:p>
    <w:p w14:paraId="7BD45B55">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rFonts w:ascii="Helvetica" w:hAnsi="Helvetica" w:cs="Helvetica"/>
          <w:color w:val="333333"/>
          <w:szCs w:val="21"/>
          <w:shd w:val="clear" w:color="auto" w:fill="FFFFFF"/>
        </w:rPr>
      </w:pPr>
      <w:r>
        <w:rPr>
          <w:rFonts w:hint="eastAsia" w:ascii="Helvetica" w:hAnsi="Helvetica" w:cs="Helvetica"/>
          <w:color w:val="333333"/>
          <w:szCs w:val="21"/>
          <w:shd w:val="clear" w:color="auto" w:fill="FFFFFF"/>
        </w:rPr>
        <w:t>数据安全性：当使用互联网等公共网络传输数据时，宜采用加</w:t>
      </w:r>
      <w:r>
        <w:rPr>
          <w:rFonts w:hint="default" w:ascii="Times New Roman" w:hAnsi="Times New Roman" w:cs="Times New Roman"/>
          <w:color w:val="333333"/>
          <w:szCs w:val="21"/>
          <w:shd w:val="clear" w:color="auto" w:fill="FFFFFF"/>
        </w:rPr>
        <w:t>密传输（如AES加密算法</w:t>
      </w:r>
      <w:r>
        <w:rPr>
          <w:rFonts w:hint="eastAsia" w:ascii="Helvetica" w:hAnsi="Helvetica" w:cs="Helvetica"/>
          <w:color w:val="333333"/>
          <w:szCs w:val="21"/>
          <w:shd w:val="clear" w:color="auto" w:fill="FFFFFF"/>
        </w:rPr>
        <w:t>） ，以保证数据安全。</w:t>
      </w:r>
    </w:p>
    <w:p w14:paraId="0D371399">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46" w:name="_Toc179444631"/>
      <w:bookmarkStart w:id="47" w:name="_Toc213734843"/>
      <w:r>
        <w:rPr>
          <w:rFonts w:hint="eastAsia" w:ascii="黑体" w:hAnsi="黑体" w:eastAsia="黑体"/>
          <w:color w:val="000000" w:themeColor="text1"/>
          <w:szCs w:val="21"/>
          <w14:textFill>
            <w14:solidFill>
              <w14:schemeClr w14:val="tx1"/>
            </w14:solidFill>
          </w14:textFill>
        </w:rPr>
        <w:t>直推钻进钻机平台</w:t>
      </w:r>
      <w:bookmarkEnd w:id="46"/>
      <w:bookmarkEnd w:id="47"/>
    </w:p>
    <w:p w14:paraId="14F77EB2">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直推钻进钻机平台须能够适应多变的地质条件、不同的探测深度和目的，以及各种地理区域，实现连续土壤贯入作业。其技术指标应符合T/ACEF 150、HG/T 20725的相关要求。</w:t>
      </w:r>
    </w:p>
    <w:p w14:paraId="75C42949">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48" w:name="_Toc213734844"/>
      <w:r>
        <w:rPr>
          <w:rFonts w:hint="eastAsia" w:ascii="黑体" w:hAnsi="黑体" w:eastAsia="黑体"/>
          <w:color w:val="000000" w:themeColor="text1"/>
          <w:szCs w:val="21"/>
          <w14:textFill>
            <w14:solidFill>
              <w14:schemeClr w14:val="tx1"/>
            </w14:solidFill>
          </w14:textFill>
        </w:rPr>
        <w:t>分系统性能规范</w:t>
      </w:r>
      <w:bookmarkEnd w:id="48"/>
    </w:p>
    <w:p w14:paraId="0170BF53">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bookmarkStart w:id="49" w:name="_Toc179444632"/>
      <w:bookmarkStart w:id="50" w:name="_Toc213734845"/>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.1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膜界面探测系统</w:t>
      </w:r>
      <w:bookmarkEnd w:id="49"/>
      <w:bookmarkEnd w:id="50"/>
    </w:p>
    <w:p w14:paraId="5D68728C">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膜界面探测系统由钻头、采样系统、检测系统和数据分析系统组成，其各部分技术指标应能满足HG/T 20725 的相关要求。</w:t>
      </w:r>
    </w:p>
    <w:p w14:paraId="0AFF42D3">
      <w:pPr>
        <w:spacing w:before="312" w:beforeLines="100" w:after="312" w:afterLines="100"/>
        <w:outlineLvl w:val="2"/>
        <w:rPr>
          <w:rFonts w:hint="eastAsia" w:ascii="黑体" w:hAnsi="黑体" w:eastAsia="黑体" w:cs="黑体"/>
          <w:color w:val="000000" w:themeColor="text1"/>
          <w:szCs w:val="21"/>
          <w14:textFill>
            <w14:solidFill>
              <w14:schemeClr w14:val="tx1"/>
            </w14:solidFill>
          </w14:textFill>
        </w:rPr>
      </w:pPr>
      <w:bookmarkStart w:id="51" w:name="_Toc179444633"/>
      <w:bookmarkStart w:id="52" w:name="_Toc213734846"/>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.2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土壤采样</w:t>
      </w:r>
      <w:bookmarkEnd w:id="51"/>
      <w:r>
        <w:rPr>
          <w:rFonts w:hint="eastAsia" w:ascii="黑体" w:hAnsi="黑体" w:eastAsia="黑体" w:cs="黑体"/>
          <w:color w:val="000000" w:themeColor="text1"/>
          <w:szCs w:val="21"/>
          <w14:textFill>
            <w14:solidFill>
              <w14:schemeClr w14:val="tx1"/>
            </w14:solidFill>
          </w14:textFill>
        </w:rPr>
        <w:t>系统</w:t>
      </w:r>
      <w:bookmarkEnd w:id="52"/>
    </w:p>
    <w:p w14:paraId="7DB34F0C">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土壤采样系统由采样钻机和采样钻具构成。</w:t>
      </w:r>
      <w:r>
        <w:rPr>
          <w:color w:val="000000" w:themeColor="text1"/>
          <w:szCs w:val="21"/>
          <w14:textFill>
            <w14:solidFill>
              <w14:schemeClr w14:val="tx1"/>
            </w14:solidFill>
          </w14:textFill>
        </w:rPr>
        <w:t>可根据钻探设备的主要技术参数、特点、适用领域和条件，选择便携式、履带式或车载式直推钻机。钻具通常包括套管、衬管和钻头，不同土壤采样技术有所差异。</w:t>
      </w:r>
      <w:r>
        <w:rPr>
          <w:rFonts w:hint="eastAsia"/>
          <w:color w:val="000000" w:themeColor="text1"/>
          <w:szCs w:val="21"/>
          <w:lang w:eastAsia="zh-CN"/>
          <w14:textFill>
            <w14:solidFill>
              <w14:schemeClr w14:val="tx1"/>
            </w14:solidFill>
          </w14:textFill>
        </w:rPr>
        <w:t>具体</w:t>
      </w:r>
      <w:r>
        <w:rPr>
          <w:color w:val="000000" w:themeColor="text1"/>
          <w:szCs w:val="21"/>
          <w14:textFill>
            <w14:solidFill>
              <w14:schemeClr w14:val="tx1"/>
            </w14:solidFill>
          </w14:textFill>
        </w:rPr>
        <w:t>指标可参考地方标准DB 32/T 的相关要求</w:t>
      </w:r>
      <w:r>
        <w:rPr>
          <w:rFonts w:hint="eastAsia"/>
          <w:color w:val="000000" w:themeColor="text1"/>
          <w:szCs w:val="21"/>
          <w14:textFill>
            <w14:solidFill>
              <w14:schemeClr w14:val="tx1"/>
            </w14:solidFill>
          </w14:textFill>
        </w:rPr>
        <w:t>。</w:t>
      </w:r>
    </w:p>
    <w:p w14:paraId="62EC7A9D">
      <w:pPr>
        <w:spacing w:before="312" w:beforeLines="100" w:after="312" w:afterLines="100"/>
        <w:outlineLvl w:val="2"/>
        <w:rPr>
          <w:rFonts w:hint="eastAsia" w:ascii="黑体" w:hAnsi="黑体" w:eastAsia="黑体" w:cs="黑体"/>
          <w:color w:val="000000" w:themeColor="text1"/>
          <w:szCs w:val="21"/>
          <w14:textFill>
            <w14:solidFill>
              <w14:schemeClr w14:val="tx1"/>
            </w14:solidFill>
          </w14:textFill>
        </w:rPr>
      </w:pPr>
      <w:bookmarkStart w:id="53" w:name="_Toc179444634"/>
      <w:bookmarkStart w:id="54" w:name="_Toc213734847"/>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.3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地下水取样</w:t>
      </w:r>
      <w:bookmarkEnd w:id="53"/>
      <w:r>
        <w:rPr>
          <w:rFonts w:hint="eastAsia" w:ascii="黑体" w:hAnsi="黑体" w:eastAsia="黑体" w:cs="黑体"/>
          <w:color w:val="000000" w:themeColor="text1"/>
          <w:szCs w:val="21"/>
          <w14:textFill>
            <w14:solidFill>
              <w14:schemeClr w14:val="tx1"/>
            </w14:solidFill>
          </w14:textFill>
        </w:rPr>
        <w:t>系统</w:t>
      </w:r>
      <w:bookmarkEnd w:id="54"/>
    </w:p>
    <w:p w14:paraId="2528D199">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地下水</w:t>
      </w:r>
      <w:r>
        <w:rPr>
          <w:rFonts w:hint="eastAsia"/>
          <w:color w:val="000000" w:themeColor="text1"/>
          <w:szCs w:val="21"/>
          <w14:textFill>
            <w14:solidFill>
              <w14:schemeClr w14:val="tx1"/>
            </w14:solidFill>
          </w14:textFill>
        </w:rPr>
        <w:t>取样</w:t>
      </w:r>
      <w:r>
        <w:rPr>
          <w:color w:val="000000" w:themeColor="text1"/>
          <w:szCs w:val="21"/>
          <w14:textFill>
            <w14:solidFill>
              <w14:schemeClr w14:val="tx1"/>
            </w14:solidFill>
          </w14:textFill>
        </w:rPr>
        <w:t>设备</w:t>
      </w:r>
      <w:r>
        <w:rPr>
          <w:rFonts w:hint="eastAsia"/>
          <w:color w:val="000000" w:themeColor="text1"/>
          <w:szCs w:val="21"/>
          <w14:textFill>
            <w14:solidFill>
              <w14:schemeClr w14:val="tx1"/>
            </w14:solidFill>
          </w14:textFill>
        </w:rPr>
        <w:t>应</w:t>
      </w:r>
      <w:r>
        <w:rPr>
          <w:color w:val="000000" w:themeColor="text1"/>
          <w:szCs w:val="21"/>
          <w14:textFill>
            <w14:solidFill>
              <w14:schemeClr w14:val="tx1"/>
            </w14:solidFill>
          </w14:textFill>
        </w:rPr>
        <w:t>涵盖测定物理或化学性质的采样设备、采集生物特性样品的设备、采集微生物的设备，以及采集放射性特性样品的设备。测定物理或化学性质的采样设备包括瞬时非自动采样设备和自动采样设备。</w:t>
      </w:r>
    </w:p>
    <w:p w14:paraId="29FD9806">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所有地下水取样设备的技术指标应满足环保行业标准HJ 494 的相关要求。</w:t>
      </w:r>
    </w:p>
    <w:p w14:paraId="00BDF5ED">
      <w:pPr>
        <w:spacing w:before="312" w:beforeLines="100" w:after="312" w:afterLines="100"/>
        <w:outlineLvl w:val="2"/>
        <w:rPr>
          <w:rFonts w:hint="eastAsia" w:ascii="黑体" w:hAnsi="黑体" w:eastAsia="黑体" w:cs="黑体"/>
          <w:color w:val="000000" w:themeColor="text1"/>
          <w:szCs w:val="21"/>
          <w14:textFill>
            <w14:solidFill>
              <w14:schemeClr w14:val="tx1"/>
            </w14:solidFill>
          </w14:textFill>
        </w:rPr>
      </w:pPr>
      <w:bookmarkStart w:id="55" w:name="_Toc179444635"/>
      <w:bookmarkStart w:id="56" w:name="_Toc213734848"/>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.4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水力剖面探测</w:t>
      </w:r>
      <w:bookmarkEnd w:id="55"/>
      <w:r>
        <w:rPr>
          <w:rFonts w:hint="eastAsia" w:ascii="黑体" w:hAnsi="黑体" w:eastAsia="黑体" w:cs="黑体"/>
          <w:color w:val="000000" w:themeColor="text1"/>
          <w:szCs w:val="21"/>
          <w14:textFill>
            <w14:solidFill>
              <w14:schemeClr w14:val="tx1"/>
            </w14:solidFill>
          </w14:textFill>
        </w:rPr>
        <w:t>系统</w:t>
      </w:r>
      <w:bookmarkEnd w:id="56"/>
    </w:p>
    <w:p w14:paraId="12902D1D">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HPT系统旨在计算评估液体在地下渗透值。当探头在液压锤的作用力下以2cm/s的速度向下前进时，干净的水通过HPT的探头，在泵的压力下经过出水口以低流速进入地下。流速通常控制在300ml/min以下。注射压力和侦测土壤的深度，通常可以反映土壤的水力特性。</w:t>
      </w:r>
    </w:p>
    <w:p w14:paraId="401F64DD">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通常其技术指标应满足：注水流量：10</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300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ml/min可调，控制精度为±1%设定值；注水压力0-100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psi（可扩展200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psi），控制精度为±</w:t>
      </w:r>
      <w:r>
        <w:rPr>
          <w:color w:val="000000" w:themeColor="text1"/>
          <w:szCs w:val="21"/>
          <w14:textFill>
            <w14:solidFill>
              <w14:schemeClr w14:val="tx1"/>
            </w14:solidFill>
          </w14:textFill>
        </w:rPr>
        <w:t>0.5%FS</w:t>
      </w:r>
      <w:r>
        <w:rPr>
          <w:rFonts w:hint="eastAsia"/>
          <w:color w:val="000000" w:themeColor="text1"/>
          <w:szCs w:val="21"/>
          <w14:textFill>
            <w14:solidFill>
              <w14:schemeClr w14:val="tx1"/>
            </w14:solidFill>
          </w14:textFill>
        </w:rPr>
        <w:t>；响应时间≤100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ms，自动温度补偿（</w:t>
      </w:r>
      <w:r>
        <w:rPr>
          <w:rFonts w:hint="eastAsia"/>
          <w:color w:val="000000" w:themeColor="text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10～50℃）。</w:t>
      </w:r>
    </w:p>
    <w:p w14:paraId="0F6D4186">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传感器精度指标，压力传感器</w:t>
      </w:r>
      <w:r>
        <w:rPr>
          <w:color w:val="000000" w:themeColor="text1"/>
          <w:szCs w:val="21"/>
          <w14:textFill>
            <w14:solidFill>
              <w14:schemeClr w14:val="tx1"/>
            </w14:solidFill>
          </w14:textFill>
        </w:rPr>
        <w:t>：分辨率0.01</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psi</w:t>
      </w:r>
      <w:r>
        <w:rPr>
          <w:rFonts w:hint="eastAsia"/>
          <w:color w:val="000000" w:themeColor="text1"/>
          <w:szCs w:val="21"/>
          <w14:textFill>
            <w14:solidFill>
              <w14:schemeClr w14:val="tx1"/>
            </w14:solidFill>
          </w14:textFill>
        </w:rPr>
        <w:t>，非线性度≤±</w:t>
      </w:r>
      <w:r>
        <w:rPr>
          <w:color w:val="000000" w:themeColor="text1"/>
          <w:szCs w:val="21"/>
          <w14:textFill>
            <w14:solidFill>
              <w14:schemeClr w14:val="tx1"/>
            </w14:solidFill>
          </w14:textFill>
        </w:rPr>
        <w:t>0.1%</w:t>
      </w:r>
      <w:r>
        <w:rPr>
          <w:rFonts w:hint="eastAsia"/>
          <w:color w:val="000000" w:themeColor="text1"/>
          <w:szCs w:val="21"/>
          <w14:textFill>
            <w14:solidFill>
              <w14:schemeClr w14:val="tx1"/>
            </w14:solidFill>
          </w14:textFill>
        </w:rPr>
        <w:t>；电导率传感器</w:t>
      </w:r>
      <w:r>
        <w:rPr>
          <w:color w:val="000000" w:themeColor="text1"/>
          <w:szCs w:val="21"/>
          <w14:textFill>
            <w14:solidFill>
              <w14:schemeClr w14:val="tx1"/>
            </w14:solidFill>
          </w14:textFill>
        </w:rPr>
        <w:t>：量程0-2000</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mS/m</w:t>
      </w:r>
      <w:r>
        <w:rPr>
          <w:rFonts w:hint="eastAsia"/>
          <w:color w:val="000000" w:themeColor="text1"/>
          <w:szCs w:val="21"/>
          <w14:textFill>
            <w14:solidFill>
              <w14:schemeClr w14:val="tx1"/>
            </w14:solidFill>
          </w14:textFill>
        </w:rPr>
        <w:t>，精度±</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读数；温度传感器</w:t>
      </w:r>
      <w:r>
        <w:rPr>
          <w:color w:val="000000" w:themeColor="text1"/>
          <w:szCs w:val="21"/>
          <w14:textFill>
            <w14:solidFill>
              <w14:schemeClr w14:val="tx1"/>
            </w14:solidFill>
          </w14:textFill>
        </w:rPr>
        <w:t>：PT1000</w:t>
      </w:r>
      <w:r>
        <w:rPr>
          <w:rFonts w:hint="eastAsia"/>
          <w:color w:val="000000" w:themeColor="text1"/>
          <w:szCs w:val="21"/>
          <w14:textFill>
            <w14:solidFill>
              <w14:schemeClr w14:val="tx1"/>
            </w14:solidFill>
          </w14:textFill>
        </w:rPr>
        <w:t>铂电阻，精度±</w:t>
      </w:r>
      <w:r>
        <w:rPr>
          <w:color w:val="000000" w:themeColor="text1"/>
          <w:szCs w:val="21"/>
          <w14:textFill>
            <w14:solidFill>
              <w14:schemeClr w14:val="tx1"/>
            </w14:solidFill>
          </w14:textFill>
        </w:rPr>
        <w:t>0.1</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6D777B8E">
      <w:pPr>
        <w:spacing w:before="312" w:beforeLines="100" w:after="312" w:afterLines="100"/>
        <w:outlineLvl w:val="2"/>
        <w:rPr>
          <w:rFonts w:hint="eastAsia" w:ascii="黑体" w:hAnsi="黑体" w:eastAsia="黑体" w:cs="黑体"/>
          <w:color w:val="000000" w:themeColor="text1"/>
          <w:szCs w:val="21"/>
          <w14:textFill>
            <w14:solidFill>
              <w14:schemeClr w14:val="tx1"/>
            </w14:solidFill>
          </w14:textFill>
        </w:rPr>
      </w:pPr>
      <w:bookmarkStart w:id="57" w:name="_Toc213734849"/>
      <w:bookmarkStart w:id="58" w:name="_Toc179444636"/>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.5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水质重金属检测装备</w:t>
      </w:r>
      <w:bookmarkEnd w:id="57"/>
      <w:bookmarkEnd w:id="58"/>
    </w:p>
    <w:p w14:paraId="1BCBFA8A">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水质重金属检测装备由检测电极和主机两大部分组成。检测电极包括工作电极、对电极和参比电极，针对特定重金属元素进行检测。不同材料和设计的电极适用于不同的检测需求。选择时应根据实际需求综合考虑，以确保检测结果的准确性和可靠性。</w:t>
      </w:r>
    </w:p>
    <w:p w14:paraId="7B572EA9">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原位污染探测直推式采样与实时检测一体化系统配置的水质重金属检测装备应满足准确度</w:t>
      </w:r>
      <w:r>
        <w:rPr>
          <w:rFonts w:hint="eastAsia" w:ascii="宋体" w:hAnsi="宋体" w:cs="宋体"/>
          <w:color w:val="000000" w:themeColor="text1"/>
          <w:szCs w:val="21"/>
          <w14:textFill>
            <w14:solidFill>
              <w14:schemeClr w14:val="tx1"/>
            </w14:solidFill>
          </w14:textFill>
        </w:rPr>
        <w:t>：加标回收率</w:t>
      </w:r>
      <w:r>
        <w:rPr>
          <w:color w:val="000000" w:themeColor="text1"/>
          <w:szCs w:val="21"/>
          <w14:textFill>
            <w14:solidFill>
              <w14:schemeClr w14:val="tx1"/>
            </w14:solidFill>
          </w14:textFill>
        </w:rPr>
        <w:t>85%</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115%</w:t>
      </w:r>
      <w:r>
        <w:rPr>
          <w:rFonts w:hint="eastAsia"/>
          <w:color w:val="000000" w:themeColor="text1"/>
          <w:szCs w:val="21"/>
          <w14:textFill>
            <w14:solidFill>
              <w14:schemeClr w14:val="tx1"/>
            </w14:solidFill>
          </w14:textFill>
        </w:rPr>
        <w:t>；精密度</w:t>
      </w:r>
      <w:r>
        <w:rPr>
          <w:rFonts w:hint="eastAsia" w:ascii="宋体" w:hAnsi="宋体" w:cs="宋体"/>
          <w:color w:val="000000" w:themeColor="text1"/>
          <w:szCs w:val="21"/>
          <w14:textFill>
            <w14:solidFill>
              <w14:schemeClr w14:val="tx1"/>
            </w14:solidFill>
          </w14:textFill>
        </w:rPr>
        <w:t>：相对标准偏差≤</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；线性范围</w:t>
      </w:r>
      <w:r>
        <w:rPr>
          <w:rFonts w:hint="eastAsia" w:ascii="宋体" w:hAnsi="宋体" w:cs="宋体"/>
          <w:color w:val="000000" w:themeColor="text1"/>
          <w:szCs w:val="21"/>
          <w14:textFill>
            <w14:solidFill>
              <w14:schemeClr w14:val="tx1"/>
            </w14:solidFill>
          </w14:textFill>
        </w:rPr>
        <w:t>：三个数量级，</w:t>
      </w:r>
      <w:r>
        <w:rPr>
          <w:color w:val="000000" w:themeColor="text1"/>
          <w:szCs w:val="21"/>
          <w14:textFill>
            <w14:solidFill>
              <w14:schemeClr w14:val="tx1"/>
            </w14:solidFill>
          </w14:textFill>
        </w:rPr>
        <w:t>R²</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0.995</w:t>
      </w:r>
      <w:r>
        <w:rPr>
          <w:rFonts w:hint="eastAsia"/>
          <w:color w:val="000000" w:themeColor="text1"/>
          <w:szCs w:val="21"/>
          <w14:textFill>
            <w14:solidFill>
              <w14:schemeClr w14:val="tx1"/>
            </w14:solidFill>
          </w14:textFill>
        </w:rPr>
        <w:t>；分析时间</w:t>
      </w:r>
      <w:r>
        <w:rPr>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：单次检测≤</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分钟。</w:t>
      </w:r>
    </w:p>
    <w:p w14:paraId="5AA601E1">
      <w:pPr>
        <w:spacing w:before="312" w:beforeLines="100" w:after="312" w:afterLines="100"/>
        <w:outlineLvl w:val="2"/>
        <w:rPr>
          <w:rFonts w:hint="eastAsia" w:ascii="黑体" w:hAnsi="黑体" w:eastAsia="黑体" w:cs="黑体"/>
          <w:color w:val="000000" w:themeColor="text1"/>
          <w:szCs w:val="21"/>
          <w14:textFill>
            <w14:solidFill>
              <w14:schemeClr w14:val="tx1"/>
            </w14:solidFill>
          </w14:textFill>
        </w:rPr>
      </w:pPr>
      <w:bookmarkStart w:id="59" w:name="_Toc179444637"/>
      <w:bookmarkStart w:id="60" w:name="_Toc213734850"/>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8</w:t>
      </w:r>
      <w:r>
        <w:rPr>
          <w:rFonts w:hint="eastAsia" w:ascii="黑体" w:hAnsi="黑体" w:eastAsia="黑体" w:cs="黑体"/>
          <w:color w:val="000000" w:themeColor="text1"/>
          <w:szCs w:val="21"/>
          <w14:textFill>
            <w14:solidFill>
              <w14:schemeClr w14:val="tx1"/>
            </w14:solidFill>
          </w14:textFill>
        </w:rPr>
        <w:t xml:space="preserve">.6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激光诱导荧光检测</w:t>
      </w:r>
      <w:bookmarkEnd w:id="59"/>
      <w:r>
        <w:rPr>
          <w:rFonts w:hint="eastAsia" w:ascii="黑体" w:hAnsi="黑体" w:eastAsia="黑体" w:cs="黑体"/>
          <w:color w:val="000000" w:themeColor="text1"/>
          <w:szCs w:val="21"/>
          <w14:textFill>
            <w14:solidFill>
              <w14:schemeClr w14:val="tx1"/>
            </w14:solidFill>
          </w14:textFill>
        </w:rPr>
        <w:t>系统</w:t>
      </w:r>
      <w:bookmarkEnd w:id="60"/>
    </w:p>
    <w:p w14:paraId="2DA2F193">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激光诱导荧光（LIF）检测装备由激光光源、光学系统和光电探测器构成。激光光源通常采用半导体二极管激光器，发射特定波长的光以激发样品中的荧光物质。光学系统包括滤光片、反射镜、透镜等，用于调整激光的方向、聚焦和滤除背景光。光电探测器负责检测并转换样品发出的荧光信号为电信号，以便于记录和分析。</w:t>
      </w:r>
    </w:p>
    <w:p w14:paraId="5F1A7043">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原位污染探测直推式采样与实时检测一体化系统配置的激光诱导荧光检测系统，激光波长266</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nm/355</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nm/532</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nm可选；激光功率10-100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mW可调；光谱范围</w:t>
      </w:r>
      <w:r>
        <w:rPr>
          <w:color w:val="000000" w:themeColor="text1"/>
          <w:szCs w:val="21"/>
          <w14:textFill>
            <w14:solidFill>
              <w14:schemeClr w14:val="tx1"/>
            </w14:solidFill>
          </w14:textFill>
        </w:rPr>
        <w:t>200-800</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nm</w:t>
      </w:r>
      <w:r>
        <w:rPr>
          <w:rFonts w:hint="eastAsia"/>
          <w:color w:val="000000" w:themeColor="text1"/>
          <w:szCs w:val="21"/>
          <w14:textFill>
            <w14:solidFill>
              <w14:schemeClr w14:val="tx1"/>
            </w14:solidFill>
          </w14:textFill>
        </w:rPr>
        <w:t>；光谱分辨率≤0.5</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nm；信噪比≥1000:1。</w:t>
      </w:r>
      <w:r>
        <w:rPr>
          <w:color w:val="000000" w:themeColor="text1"/>
          <w:szCs w:val="21"/>
          <w14:textFill>
            <w14:solidFill>
              <w14:schemeClr w14:val="tx1"/>
            </w14:solidFill>
          </w14:textFill>
        </w:rPr>
        <w:t>检测灵敏度指标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多环芳烃</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PAHs</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：检出限0.1</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μg/L，定量限0.5</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μg/L</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石油烃类</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TPH</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：检出限1</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μg/L，定量限5</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μg/L</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重金属离子：检出限0.5-5</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μg/L（视元素而定）</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荧光染料​：检出限0.01</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μg/L（</w:t>
      </w:r>
      <w:r>
        <w:rPr>
          <w:rFonts w:hint="eastAsia"/>
          <w:color w:val="000000" w:themeColor="text1"/>
          <w:szCs w:val="21"/>
          <w14:textFill>
            <w14:solidFill>
              <w14:schemeClr w14:val="tx1"/>
            </w14:solidFill>
          </w14:textFill>
        </w:rPr>
        <w:t>罗</w:t>
      </w:r>
      <w:r>
        <w:rPr>
          <w:color w:val="000000" w:themeColor="text1"/>
          <w:szCs w:val="21"/>
          <w14:textFill>
            <w14:solidFill>
              <w14:schemeClr w14:val="tx1"/>
            </w14:solidFill>
          </w14:textFill>
        </w:rPr>
        <w:t>丹明WT）</w:t>
      </w:r>
      <w:r>
        <w:rPr>
          <w:rFonts w:hint="eastAsia"/>
          <w:color w:val="000000" w:themeColor="text1"/>
          <w:szCs w:val="21"/>
          <w14:textFill>
            <w14:solidFill>
              <w14:schemeClr w14:val="tx1"/>
            </w14:solidFill>
          </w14:textFill>
        </w:rPr>
        <w:t>。</w:t>
      </w:r>
    </w:p>
    <w:p w14:paraId="1451AEB5">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szCs w:val="21"/>
          <w14:textFill>
            <w14:solidFill>
              <w14:schemeClr w14:val="tx1"/>
            </w14:solidFill>
          </w14:textFill>
        </w:rPr>
      </w:pPr>
      <w:bookmarkStart w:id="61" w:name="_Toc179444638"/>
      <w:bookmarkStart w:id="62" w:name="_Toc213734851"/>
      <w:r>
        <w:rPr>
          <w:rFonts w:hint="eastAsia" w:ascii="黑体" w:hAnsi="黑体" w:eastAsia="黑体"/>
          <w:color w:val="000000" w:themeColor="text1"/>
          <w:szCs w:val="21"/>
          <w14:textFill>
            <w14:solidFill>
              <w14:schemeClr w14:val="tx1"/>
            </w14:solidFill>
          </w14:textFill>
        </w:rPr>
        <w:t>数据集成与</w:t>
      </w:r>
      <w:bookmarkEnd w:id="61"/>
      <w:r>
        <w:rPr>
          <w:rFonts w:hint="eastAsia" w:ascii="黑体" w:hAnsi="黑体" w:eastAsia="黑体"/>
          <w:color w:val="000000" w:themeColor="text1"/>
          <w:szCs w:val="21"/>
          <w14:textFill>
            <w14:solidFill>
              <w14:schemeClr w14:val="tx1"/>
            </w14:solidFill>
          </w14:textFill>
        </w:rPr>
        <w:t>通信</w:t>
      </w:r>
      <w:bookmarkEnd w:id="62"/>
    </w:p>
    <w:p w14:paraId="1CA80C9B">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bookmarkStart w:id="63" w:name="_Toc213734852"/>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.1</w:t>
      </w:r>
      <w:r>
        <w:rPr>
          <w:rFonts w:hint="eastAsia"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lang w:val="en-US" w:eastAsia="zh-CN"/>
          <w14:textFill>
            <w14:solidFill>
              <w14:schemeClr w14:val="tx1"/>
            </w14:solidFill>
          </w14:textFill>
        </w:rPr>
        <w:t xml:space="preserve"> </w:t>
      </w:r>
      <w:r>
        <w:rPr>
          <w:rFonts w:ascii="黑体" w:hAnsi="黑体" w:eastAsia="黑体"/>
          <w:color w:val="000000" w:themeColor="text1"/>
          <w:szCs w:val="21"/>
          <w14:textFill>
            <w14:solidFill>
              <w14:schemeClr w14:val="tx1"/>
            </w14:solidFill>
          </w14:textFill>
        </w:rPr>
        <w:t>数据同步采集</w:t>
      </w:r>
      <w:r>
        <w:rPr>
          <w:rFonts w:ascii="Cambria Math" w:hAnsi="Cambria Math" w:eastAsia="黑体" w:cs="Cambria Math"/>
          <w:color w:val="000000" w:themeColor="text1"/>
          <w:szCs w:val="21"/>
          <w14:textFill>
            <w14:solidFill>
              <w14:schemeClr w14:val="tx1"/>
            </w14:solidFill>
          </w14:textFill>
        </w:rPr>
        <w:t>​</w:t>
      </w:r>
      <w:bookmarkEnd w:id="63"/>
    </w:p>
    <w:p w14:paraId="75F84848">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textAlignment w:val="auto"/>
      </w:pPr>
      <w:r>
        <w:rPr>
          <w:color w:val="000000" w:themeColor="text1"/>
          <w:szCs w:val="21"/>
          <w14:textFill>
            <w14:solidFill>
              <w14:schemeClr w14:val="tx1"/>
            </w14:solidFill>
          </w14:textFill>
        </w:rPr>
        <w:t>时间同步精度​：各探测单元时间戳误差≤1ms</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​空间同步基准​：统一深度坐标系统，精度±0.1%测量深度</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​数据采集频率​：≥1Hz（可配置至10Hz高速模式）</w:t>
      </w:r>
      <w:r>
        <w:rPr>
          <w:rFonts w:hint="eastAsia"/>
          <w:color w:val="000000" w:themeColor="text1"/>
          <w:szCs w:val="21"/>
          <w14:textFill>
            <w14:solidFill>
              <w14:schemeClr w14:val="tx1"/>
            </w14:solidFill>
          </w14:textFill>
        </w:rPr>
        <w:t>。</w:t>
      </w:r>
    </w:p>
    <w:p w14:paraId="50F9F847">
      <w:pPr>
        <w:spacing w:before="312" w:beforeLines="100" w:after="312" w:afterLines="100"/>
        <w:outlineLvl w:val="2"/>
        <w:rPr>
          <w:rFonts w:eastAsia="黑体"/>
          <w:color w:val="000000" w:themeColor="text1"/>
          <w:szCs w:val="21"/>
          <w14:textFill>
            <w14:solidFill>
              <w14:schemeClr w14:val="tx1"/>
            </w14:solidFill>
          </w14:textFill>
        </w:rPr>
      </w:pPr>
      <w:bookmarkStart w:id="64" w:name="_Toc213734853"/>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 xml:space="preserve">.2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eastAsia="黑体"/>
          <w:color w:val="000000" w:themeColor="text1"/>
          <w:szCs w:val="21"/>
          <w14:textFill>
            <w14:solidFill>
              <w14:schemeClr w14:val="tx1"/>
            </w14:solidFill>
          </w14:textFill>
        </w:rPr>
        <w:t>传感器接口规范</w:t>
      </w:r>
      <w:bookmarkEnd w:id="64"/>
    </w:p>
    <w:tbl>
      <w:tblPr>
        <w:tblStyle w:val="16"/>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804"/>
        <w:gridCol w:w="2840"/>
        <w:gridCol w:w="1947"/>
        <w:gridCol w:w="3069"/>
      </w:tblGrid>
      <w:tr w14:paraId="5E15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blHeader/>
        </w:trPr>
        <w:tc>
          <w:tcPr>
            <w:tcW w:w="934" w:type="pct"/>
            <w:shd w:val="clear" w:color="auto" w:fill="FFFFFF"/>
            <w:tcMar>
              <w:top w:w="150" w:type="dxa"/>
              <w:left w:w="0" w:type="dxa"/>
              <w:bottom w:w="150" w:type="dxa"/>
              <w:right w:w="300" w:type="dxa"/>
            </w:tcMar>
            <w:vAlign w:val="center"/>
          </w:tcPr>
          <w:p w14:paraId="20B69B07">
            <w:pPr>
              <w:widowControl/>
              <w:snapToGrid w:val="0"/>
              <w:jc w:val="center"/>
              <w:textAlignment w:val="baseline"/>
              <w:rPr>
                <w:rFonts w:ascii="Segoe UI" w:hAnsi="Segoe UI" w:cs="Segoe UI"/>
                <w:color w:val="000000"/>
                <w:sz w:val="18"/>
                <w:szCs w:val="18"/>
              </w:rPr>
            </w:pPr>
            <w:r>
              <w:rPr>
                <w:rFonts w:hint="eastAsia" w:ascii="Segoe UI" w:hAnsi="Segoe UI" w:cs="Segoe UI"/>
                <w:color w:val="000000"/>
                <w:sz w:val="18"/>
                <w:szCs w:val="18"/>
              </w:rPr>
              <w:t>接</w:t>
            </w:r>
            <w:r>
              <w:rPr>
                <w:rFonts w:ascii="Segoe UI" w:hAnsi="Segoe UI" w:cs="Segoe UI"/>
                <w:color w:val="000000"/>
                <w:sz w:val="18"/>
                <w:szCs w:val="18"/>
              </w:rPr>
              <w:t>口类型</w:t>
            </w:r>
          </w:p>
        </w:tc>
        <w:tc>
          <w:tcPr>
            <w:tcW w:w="1470" w:type="pct"/>
            <w:shd w:val="clear" w:color="auto" w:fill="FFFFFF"/>
            <w:tcMar>
              <w:top w:w="150" w:type="dxa"/>
              <w:left w:w="0" w:type="dxa"/>
              <w:bottom w:w="150" w:type="dxa"/>
              <w:right w:w="300" w:type="dxa"/>
            </w:tcMar>
            <w:vAlign w:val="center"/>
          </w:tcPr>
          <w:p w14:paraId="18663037">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通信协议</w:t>
            </w:r>
          </w:p>
        </w:tc>
        <w:tc>
          <w:tcPr>
            <w:tcW w:w="1008" w:type="pct"/>
            <w:shd w:val="clear" w:color="auto" w:fill="FFFFFF"/>
            <w:tcMar>
              <w:top w:w="150" w:type="dxa"/>
              <w:left w:w="0" w:type="dxa"/>
              <w:bottom w:w="150" w:type="dxa"/>
              <w:right w:w="300" w:type="dxa"/>
            </w:tcMar>
            <w:vAlign w:val="center"/>
          </w:tcPr>
          <w:p w14:paraId="23546B33">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传输速率</w:t>
            </w:r>
          </w:p>
        </w:tc>
        <w:tc>
          <w:tcPr>
            <w:tcW w:w="1588" w:type="pct"/>
            <w:shd w:val="clear" w:color="auto" w:fill="FFFFFF"/>
            <w:tcMar>
              <w:top w:w="150" w:type="dxa"/>
              <w:left w:w="0" w:type="dxa"/>
              <w:bottom w:w="150" w:type="dxa"/>
              <w:right w:w="300" w:type="dxa"/>
            </w:tcMar>
            <w:vAlign w:val="center"/>
          </w:tcPr>
          <w:p w14:paraId="78A1465C">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适用模块</w:t>
            </w:r>
          </w:p>
        </w:tc>
      </w:tr>
      <w:tr w14:paraId="4292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934" w:type="pct"/>
            <w:shd w:val="clear" w:color="auto" w:fill="FFFFFF"/>
            <w:tcMar>
              <w:top w:w="150" w:type="dxa"/>
              <w:left w:w="0" w:type="dxa"/>
              <w:bottom w:w="150" w:type="dxa"/>
              <w:right w:w="300" w:type="dxa"/>
            </w:tcMar>
            <w:vAlign w:val="bottom"/>
          </w:tcPr>
          <w:p w14:paraId="6F264551">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数字接口</w:t>
            </w:r>
          </w:p>
        </w:tc>
        <w:tc>
          <w:tcPr>
            <w:tcW w:w="1470" w:type="pct"/>
            <w:shd w:val="clear" w:color="auto" w:fill="FFFFFF"/>
            <w:tcMar>
              <w:top w:w="150" w:type="dxa"/>
              <w:left w:w="0" w:type="dxa"/>
              <w:bottom w:w="150" w:type="dxa"/>
              <w:right w:w="300" w:type="dxa"/>
            </w:tcMar>
            <w:vAlign w:val="bottom"/>
          </w:tcPr>
          <w:p w14:paraId="2A3E300F">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RS</w:t>
            </w:r>
            <w:r>
              <w:rPr>
                <w:rFonts w:cs="Segoe UI"/>
                <w:color w:val="000000"/>
                <w:sz w:val="18"/>
                <w:szCs w:val="18"/>
              </w:rPr>
              <w:t>485</w:t>
            </w:r>
            <w:r>
              <w:rPr>
                <w:rFonts w:ascii="Segoe UI" w:hAnsi="Segoe UI" w:cs="Segoe UI"/>
                <w:color w:val="000000"/>
                <w:sz w:val="18"/>
                <w:szCs w:val="18"/>
              </w:rPr>
              <w:t>/MODBUS</w:t>
            </w:r>
          </w:p>
        </w:tc>
        <w:tc>
          <w:tcPr>
            <w:tcW w:w="1008" w:type="pct"/>
            <w:shd w:val="clear" w:color="auto" w:fill="FFFFFF"/>
            <w:tcMar>
              <w:top w:w="150" w:type="dxa"/>
              <w:left w:w="0" w:type="dxa"/>
              <w:bottom w:w="150" w:type="dxa"/>
              <w:right w:w="300" w:type="dxa"/>
            </w:tcMar>
            <w:vAlign w:val="bottom"/>
          </w:tcPr>
          <w:p w14:paraId="2EC67E33">
            <w:pPr>
              <w:widowControl/>
              <w:snapToGrid w:val="0"/>
              <w:jc w:val="center"/>
              <w:textAlignment w:val="baseline"/>
              <w:rPr>
                <w:rFonts w:ascii="Segoe UI" w:hAnsi="Segoe UI" w:cs="Segoe UI"/>
                <w:color w:val="000000"/>
                <w:sz w:val="18"/>
                <w:szCs w:val="18"/>
              </w:rPr>
            </w:pPr>
            <w:r>
              <w:rPr>
                <w:rFonts w:cs="Segoe UI"/>
                <w:color w:val="000000"/>
                <w:sz w:val="18"/>
                <w:szCs w:val="18"/>
              </w:rPr>
              <w:t>115</w:t>
            </w:r>
            <w:r>
              <w:rPr>
                <w:rFonts w:ascii="Segoe UI" w:hAnsi="Segoe UI" w:cs="Segoe UI"/>
                <w:color w:val="000000"/>
                <w:sz w:val="18"/>
                <w:szCs w:val="18"/>
              </w:rPr>
              <w:t>.</w:t>
            </w:r>
            <w:r>
              <w:rPr>
                <w:rFonts w:cs="Segoe UI"/>
                <w:color w:val="000000"/>
                <w:sz w:val="18"/>
                <w:szCs w:val="18"/>
              </w:rPr>
              <w:t>2</w:t>
            </w:r>
            <w:r>
              <w:rPr>
                <w:rFonts w:hint="eastAsia" w:cs="Segoe UI"/>
                <w:color w:val="000000"/>
                <w:sz w:val="18"/>
                <w:szCs w:val="18"/>
                <w:lang w:val="en-US" w:eastAsia="zh-CN"/>
              </w:rPr>
              <w:t xml:space="preserve"> </w:t>
            </w:r>
            <w:r>
              <w:rPr>
                <w:rFonts w:ascii="Segoe UI" w:hAnsi="Segoe UI" w:cs="Segoe UI"/>
                <w:color w:val="000000"/>
                <w:sz w:val="18"/>
                <w:szCs w:val="18"/>
              </w:rPr>
              <w:t>kbps</w:t>
            </w:r>
          </w:p>
        </w:tc>
        <w:tc>
          <w:tcPr>
            <w:tcW w:w="1588" w:type="pct"/>
            <w:shd w:val="clear" w:color="auto" w:fill="FFFFFF"/>
            <w:tcMar>
              <w:top w:w="150" w:type="dxa"/>
              <w:left w:w="0" w:type="dxa"/>
              <w:bottom w:w="150" w:type="dxa"/>
              <w:right w:w="300" w:type="dxa"/>
            </w:tcMar>
            <w:vAlign w:val="bottom"/>
          </w:tcPr>
          <w:p w14:paraId="0FE440B3">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MIP、HPT探头</w:t>
            </w:r>
          </w:p>
        </w:tc>
      </w:tr>
      <w:tr w14:paraId="0E87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934" w:type="pct"/>
            <w:shd w:val="clear" w:color="auto" w:fill="FFFFFF"/>
            <w:tcMar>
              <w:top w:w="150" w:type="dxa"/>
              <w:left w:w="0" w:type="dxa"/>
              <w:bottom w:w="150" w:type="dxa"/>
              <w:right w:w="300" w:type="dxa"/>
            </w:tcMar>
            <w:vAlign w:val="bottom"/>
          </w:tcPr>
          <w:p w14:paraId="132F5C0A">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模拟接口</w:t>
            </w:r>
          </w:p>
        </w:tc>
        <w:tc>
          <w:tcPr>
            <w:tcW w:w="1470" w:type="pct"/>
            <w:shd w:val="clear" w:color="auto" w:fill="FFFFFF"/>
            <w:tcMar>
              <w:top w:w="150" w:type="dxa"/>
              <w:left w:w="0" w:type="dxa"/>
              <w:bottom w:w="150" w:type="dxa"/>
              <w:right w:w="300" w:type="dxa"/>
            </w:tcMar>
            <w:vAlign w:val="bottom"/>
          </w:tcPr>
          <w:p w14:paraId="1AEAA781">
            <w:pPr>
              <w:widowControl/>
              <w:snapToGrid w:val="0"/>
              <w:jc w:val="center"/>
              <w:textAlignment w:val="baseline"/>
              <w:rPr>
                <w:rFonts w:ascii="Segoe UI" w:hAnsi="Segoe UI" w:cs="Segoe UI"/>
                <w:color w:val="000000"/>
                <w:sz w:val="18"/>
                <w:szCs w:val="18"/>
              </w:rPr>
            </w:pPr>
            <w:r>
              <w:rPr>
                <w:rFonts w:cs="Segoe UI"/>
                <w:color w:val="000000"/>
                <w:sz w:val="18"/>
                <w:szCs w:val="18"/>
              </w:rPr>
              <w:t>4</w:t>
            </w:r>
            <w:r>
              <w:rPr>
                <w:rFonts w:hint="eastAsia" w:cs="Segoe UI"/>
                <w:color w:val="000000"/>
                <w:sz w:val="18"/>
                <w:szCs w:val="18"/>
                <w:lang w:eastAsia="zh-CN"/>
              </w:rPr>
              <w:t>~</w:t>
            </w:r>
            <w:r>
              <w:rPr>
                <w:rFonts w:cs="Segoe UI"/>
                <w:color w:val="000000"/>
                <w:sz w:val="18"/>
                <w:szCs w:val="18"/>
              </w:rPr>
              <w:t>20</w:t>
            </w:r>
            <w:r>
              <w:rPr>
                <w:rFonts w:ascii="Segoe UI" w:hAnsi="Segoe UI" w:cs="Segoe UI"/>
                <w:color w:val="000000"/>
                <w:sz w:val="18"/>
                <w:szCs w:val="18"/>
              </w:rPr>
              <w:t>mA/</w:t>
            </w:r>
            <w:r>
              <w:rPr>
                <w:rFonts w:cs="Segoe UI"/>
                <w:color w:val="000000"/>
                <w:sz w:val="18"/>
                <w:szCs w:val="18"/>
              </w:rPr>
              <w:t>0</w:t>
            </w:r>
            <w:r>
              <w:rPr>
                <w:rFonts w:ascii="Segoe UI" w:hAnsi="Segoe UI" w:cs="Segoe UI"/>
                <w:color w:val="000000"/>
                <w:sz w:val="18"/>
                <w:szCs w:val="18"/>
              </w:rPr>
              <w:t>-</w:t>
            </w:r>
            <w:r>
              <w:rPr>
                <w:rFonts w:cs="Segoe UI"/>
                <w:color w:val="000000"/>
                <w:sz w:val="18"/>
                <w:szCs w:val="18"/>
              </w:rPr>
              <w:t>5</w:t>
            </w:r>
            <w:r>
              <w:rPr>
                <w:rFonts w:ascii="Segoe UI" w:hAnsi="Segoe UI" w:cs="Segoe UI"/>
                <w:color w:val="000000"/>
                <w:sz w:val="18"/>
                <w:szCs w:val="18"/>
              </w:rPr>
              <w:t>V</w:t>
            </w:r>
          </w:p>
        </w:tc>
        <w:tc>
          <w:tcPr>
            <w:tcW w:w="1008" w:type="pct"/>
            <w:shd w:val="clear" w:color="auto" w:fill="FFFFFF"/>
            <w:tcMar>
              <w:top w:w="150" w:type="dxa"/>
              <w:left w:w="0" w:type="dxa"/>
              <w:bottom w:w="150" w:type="dxa"/>
              <w:right w:w="300" w:type="dxa"/>
            </w:tcMar>
            <w:vAlign w:val="bottom"/>
          </w:tcPr>
          <w:p w14:paraId="3728B85C">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w:t>
            </w:r>
          </w:p>
        </w:tc>
        <w:tc>
          <w:tcPr>
            <w:tcW w:w="1588" w:type="pct"/>
            <w:shd w:val="clear" w:color="auto" w:fill="FFFFFF"/>
            <w:tcMar>
              <w:top w:w="150" w:type="dxa"/>
              <w:left w:w="0" w:type="dxa"/>
              <w:bottom w:w="150" w:type="dxa"/>
              <w:right w:w="300" w:type="dxa"/>
            </w:tcMar>
            <w:vAlign w:val="bottom"/>
          </w:tcPr>
          <w:p w14:paraId="3035799D">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压力、温度传感器</w:t>
            </w:r>
          </w:p>
        </w:tc>
      </w:tr>
      <w:tr w14:paraId="0BC5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934" w:type="pct"/>
            <w:shd w:val="clear" w:color="auto" w:fill="FFFFFF"/>
            <w:tcMar>
              <w:top w:w="150" w:type="dxa"/>
              <w:left w:w="0" w:type="dxa"/>
              <w:bottom w:w="150" w:type="dxa"/>
              <w:right w:w="300" w:type="dxa"/>
            </w:tcMar>
            <w:vAlign w:val="bottom"/>
          </w:tcPr>
          <w:p w14:paraId="77C2B1E2">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网络接口</w:t>
            </w:r>
          </w:p>
        </w:tc>
        <w:tc>
          <w:tcPr>
            <w:tcW w:w="1470" w:type="pct"/>
            <w:shd w:val="clear" w:color="auto" w:fill="FFFFFF"/>
            <w:tcMar>
              <w:top w:w="150" w:type="dxa"/>
              <w:left w:w="0" w:type="dxa"/>
              <w:bottom w:w="150" w:type="dxa"/>
              <w:right w:w="300" w:type="dxa"/>
            </w:tcMar>
            <w:vAlign w:val="bottom"/>
          </w:tcPr>
          <w:p w14:paraId="032F1774">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Ethernet TCP/IP</w:t>
            </w:r>
          </w:p>
        </w:tc>
        <w:tc>
          <w:tcPr>
            <w:tcW w:w="1008" w:type="pct"/>
            <w:shd w:val="clear" w:color="auto" w:fill="FFFFFF"/>
            <w:tcMar>
              <w:top w:w="150" w:type="dxa"/>
              <w:left w:w="0" w:type="dxa"/>
              <w:bottom w:w="150" w:type="dxa"/>
              <w:right w:w="300" w:type="dxa"/>
            </w:tcMar>
            <w:vAlign w:val="bottom"/>
          </w:tcPr>
          <w:p w14:paraId="40A3636E">
            <w:pPr>
              <w:widowControl/>
              <w:snapToGrid w:val="0"/>
              <w:jc w:val="center"/>
              <w:textAlignment w:val="baseline"/>
              <w:rPr>
                <w:rFonts w:ascii="Segoe UI" w:hAnsi="Segoe UI" w:cs="Segoe UI"/>
                <w:color w:val="000000"/>
                <w:sz w:val="18"/>
                <w:szCs w:val="18"/>
              </w:rPr>
            </w:pPr>
            <w:r>
              <w:rPr>
                <w:rFonts w:cs="Segoe UI"/>
                <w:color w:val="000000"/>
                <w:sz w:val="18"/>
                <w:szCs w:val="18"/>
              </w:rPr>
              <w:t>100</w:t>
            </w:r>
            <w:r>
              <w:rPr>
                <w:rFonts w:hint="eastAsia" w:cs="Segoe UI"/>
                <w:color w:val="000000"/>
                <w:sz w:val="18"/>
                <w:szCs w:val="18"/>
                <w:lang w:val="en-US" w:eastAsia="zh-CN"/>
              </w:rPr>
              <w:t xml:space="preserve"> </w:t>
            </w:r>
            <w:r>
              <w:rPr>
                <w:rFonts w:ascii="Segoe UI" w:hAnsi="Segoe UI" w:cs="Segoe UI"/>
                <w:color w:val="000000"/>
                <w:sz w:val="18"/>
                <w:szCs w:val="18"/>
              </w:rPr>
              <w:t>Mbps</w:t>
            </w:r>
          </w:p>
        </w:tc>
        <w:tc>
          <w:tcPr>
            <w:tcW w:w="1588" w:type="pct"/>
            <w:shd w:val="clear" w:color="auto" w:fill="FFFFFF"/>
            <w:tcMar>
              <w:top w:w="150" w:type="dxa"/>
              <w:left w:w="0" w:type="dxa"/>
              <w:bottom w:w="150" w:type="dxa"/>
              <w:right w:w="300" w:type="dxa"/>
            </w:tcMar>
            <w:vAlign w:val="bottom"/>
          </w:tcPr>
          <w:p w14:paraId="572A45D5">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主控单元</w:t>
            </w:r>
          </w:p>
        </w:tc>
      </w:tr>
      <w:tr w14:paraId="6BF4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934" w:type="pct"/>
            <w:shd w:val="clear" w:color="auto" w:fill="FFFFFF"/>
            <w:tcMar>
              <w:top w:w="150" w:type="dxa"/>
              <w:left w:w="0" w:type="dxa"/>
              <w:bottom w:w="150" w:type="dxa"/>
              <w:right w:w="300" w:type="dxa"/>
            </w:tcMar>
            <w:vAlign w:val="bottom"/>
          </w:tcPr>
          <w:p w14:paraId="428F334C">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无线接口</w:t>
            </w:r>
          </w:p>
        </w:tc>
        <w:tc>
          <w:tcPr>
            <w:tcW w:w="1470" w:type="pct"/>
            <w:shd w:val="clear" w:color="auto" w:fill="FFFFFF"/>
            <w:tcMar>
              <w:top w:w="150" w:type="dxa"/>
              <w:left w:w="0" w:type="dxa"/>
              <w:bottom w:w="150" w:type="dxa"/>
              <w:right w:w="300" w:type="dxa"/>
            </w:tcMar>
            <w:vAlign w:val="bottom"/>
          </w:tcPr>
          <w:p w14:paraId="0AAFBD2F">
            <w:pPr>
              <w:widowControl/>
              <w:snapToGrid w:val="0"/>
              <w:jc w:val="center"/>
              <w:textAlignment w:val="baseline"/>
              <w:rPr>
                <w:rFonts w:ascii="Segoe UI" w:hAnsi="Segoe UI" w:cs="Segoe UI"/>
                <w:color w:val="000000"/>
                <w:sz w:val="18"/>
                <w:szCs w:val="18"/>
              </w:rPr>
            </w:pPr>
            <w:r>
              <w:rPr>
                <w:rFonts w:hint="eastAsia" w:ascii="Segoe UI" w:hAnsi="Segoe UI" w:cs="Segoe UI"/>
                <w:color w:val="000000"/>
                <w:sz w:val="18"/>
                <w:szCs w:val="18"/>
                <w:lang w:eastAsia="zh-CN"/>
              </w:rPr>
              <w:t>Wi-Fi</w:t>
            </w:r>
            <w:r>
              <w:rPr>
                <w:rFonts w:ascii="Segoe UI" w:hAnsi="Segoe UI" w:cs="Segoe UI"/>
                <w:color w:val="000000"/>
                <w:sz w:val="18"/>
                <w:szCs w:val="18"/>
              </w:rPr>
              <w:t>/</w:t>
            </w:r>
            <w:r>
              <w:rPr>
                <w:rFonts w:cs="Segoe UI"/>
                <w:color w:val="000000"/>
                <w:sz w:val="18"/>
                <w:szCs w:val="18"/>
              </w:rPr>
              <w:t>4</w:t>
            </w:r>
            <w:r>
              <w:rPr>
                <w:rFonts w:ascii="Segoe UI" w:hAnsi="Segoe UI" w:cs="Segoe UI"/>
                <w:color w:val="000000"/>
                <w:sz w:val="18"/>
                <w:szCs w:val="18"/>
              </w:rPr>
              <w:t>G/</w:t>
            </w:r>
            <w:r>
              <w:rPr>
                <w:rFonts w:cs="Segoe UI"/>
                <w:color w:val="000000"/>
                <w:sz w:val="18"/>
                <w:szCs w:val="18"/>
              </w:rPr>
              <w:t>5</w:t>
            </w:r>
            <w:r>
              <w:rPr>
                <w:rFonts w:ascii="Segoe UI" w:hAnsi="Segoe UI" w:cs="Segoe UI"/>
                <w:color w:val="000000"/>
                <w:sz w:val="18"/>
                <w:szCs w:val="18"/>
              </w:rPr>
              <w:t>G</w:t>
            </w:r>
          </w:p>
        </w:tc>
        <w:tc>
          <w:tcPr>
            <w:tcW w:w="1008" w:type="pct"/>
            <w:shd w:val="clear" w:color="auto" w:fill="FFFFFF"/>
            <w:tcMar>
              <w:top w:w="150" w:type="dxa"/>
              <w:left w:w="0" w:type="dxa"/>
              <w:bottom w:w="150" w:type="dxa"/>
              <w:right w:w="300" w:type="dxa"/>
            </w:tcMar>
            <w:vAlign w:val="bottom"/>
          </w:tcPr>
          <w:p w14:paraId="12F96DFF">
            <w:pPr>
              <w:widowControl/>
              <w:snapToGrid w:val="0"/>
              <w:jc w:val="center"/>
              <w:textAlignment w:val="baseline"/>
              <w:rPr>
                <w:rFonts w:ascii="Segoe UI" w:hAnsi="Segoe UI" w:cs="Segoe UI"/>
                <w:color w:val="000000"/>
                <w:sz w:val="18"/>
                <w:szCs w:val="18"/>
              </w:rPr>
            </w:pPr>
            <w:r>
              <w:rPr>
                <w:rFonts w:cs="Segoe UI"/>
                <w:color w:val="000000"/>
                <w:sz w:val="18"/>
                <w:szCs w:val="18"/>
              </w:rPr>
              <w:t>50</w:t>
            </w:r>
            <w:r>
              <w:rPr>
                <w:rFonts w:hint="eastAsia" w:cs="Segoe UI"/>
                <w:color w:val="000000"/>
                <w:sz w:val="18"/>
                <w:szCs w:val="18"/>
                <w:lang w:val="en-US" w:eastAsia="zh-CN"/>
              </w:rPr>
              <w:t xml:space="preserve"> </w:t>
            </w:r>
            <w:r>
              <w:rPr>
                <w:rFonts w:ascii="Segoe UI" w:hAnsi="Segoe UI" w:cs="Segoe UI"/>
                <w:color w:val="000000"/>
                <w:sz w:val="18"/>
                <w:szCs w:val="18"/>
              </w:rPr>
              <w:t>Mbps</w:t>
            </w:r>
          </w:p>
        </w:tc>
        <w:tc>
          <w:tcPr>
            <w:tcW w:w="1588" w:type="pct"/>
            <w:shd w:val="clear" w:color="auto" w:fill="FFFFFF"/>
            <w:tcMar>
              <w:top w:w="150" w:type="dxa"/>
              <w:left w:w="0" w:type="dxa"/>
              <w:bottom w:w="150" w:type="dxa"/>
              <w:right w:w="300" w:type="dxa"/>
            </w:tcMar>
            <w:vAlign w:val="bottom"/>
          </w:tcPr>
          <w:p w14:paraId="05FD92C7">
            <w:pPr>
              <w:widowControl/>
              <w:snapToGrid w:val="0"/>
              <w:jc w:val="center"/>
              <w:textAlignment w:val="baseline"/>
              <w:rPr>
                <w:rFonts w:ascii="Segoe UI" w:hAnsi="Segoe UI" w:cs="Segoe UI"/>
                <w:color w:val="000000"/>
                <w:sz w:val="18"/>
                <w:szCs w:val="18"/>
              </w:rPr>
            </w:pPr>
            <w:r>
              <w:rPr>
                <w:rFonts w:ascii="Segoe UI" w:hAnsi="Segoe UI" w:cs="Segoe UI"/>
                <w:color w:val="000000"/>
                <w:sz w:val="18"/>
                <w:szCs w:val="18"/>
              </w:rPr>
              <w:t>移动端接入</w:t>
            </w:r>
          </w:p>
        </w:tc>
      </w:tr>
    </w:tbl>
    <w:p w14:paraId="1ECC5ACB">
      <w:pPr>
        <w:spacing w:line="480" w:lineRule="auto"/>
        <w:outlineLvl w:val="2"/>
        <w:rPr>
          <w:rFonts w:hint="eastAsia" w:ascii="黑体" w:hAnsi="黑体" w:eastAsia="黑体"/>
          <w:color w:val="000000" w:themeColor="text1"/>
          <w:szCs w:val="21"/>
          <w14:textFill>
            <w14:solidFill>
              <w14:schemeClr w14:val="tx1"/>
            </w14:solidFill>
          </w14:textFill>
        </w:rPr>
      </w:pPr>
      <w:bookmarkStart w:id="65" w:name="_Toc213734854"/>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.3</w:t>
      </w:r>
      <w:r>
        <w:rPr>
          <w:rFonts w:hint="eastAsia"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lang w:val="en-US" w:eastAsia="zh-CN"/>
          <w14:textFill>
            <w14:solidFill>
              <w14:schemeClr w14:val="tx1"/>
            </w14:solidFill>
          </w14:textFill>
        </w:rPr>
        <w:t xml:space="preserve"> </w:t>
      </w:r>
      <w:r>
        <w:rPr>
          <w:rFonts w:ascii="黑体" w:hAnsi="黑体" w:eastAsia="黑体"/>
          <w:color w:val="000000" w:themeColor="text1"/>
          <w:szCs w:val="21"/>
          <w14:textFill>
            <w14:solidFill>
              <w14:schemeClr w14:val="tx1"/>
            </w14:solidFill>
          </w14:textFill>
        </w:rPr>
        <w:t>通信</w:t>
      </w:r>
      <w:r>
        <w:rPr>
          <w:rFonts w:hint="eastAsia" w:ascii="黑体" w:hAnsi="黑体" w:eastAsia="黑体"/>
          <w:color w:val="000000" w:themeColor="text1"/>
          <w:szCs w:val="21"/>
          <w14:textFill>
            <w14:solidFill>
              <w14:schemeClr w14:val="tx1"/>
            </w14:solidFill>
          </w14:textFill>
        </w:rPr>
        <w:t>性能</w:t>
      </w:r>
      <w:bookmarkEnd w:id="65"/>
    </w:p>
    <w:p w14:paraId="20C3EDB2">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实时通信性能</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数据传输延迟：≤100</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ms（设备到服务器）</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数据完整性：传输误码率≤10⁻⁶</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​网络恢复能力：断线自动重连，数据续传</w:t>
      </w:r>
      <w:r>
        <w:rPr>
          <w:rFonts w:hint="eastAsia"/>
          <w:color w:val="000000" w:themeColor="text1"/>
          <w:szCs w:val="21"/>
          <w14:textFill>
            <w14:solidFill>
              <w14:schemeClr w14:val="tx1"/>
            </w14:solidFill>
          </w14:textFill>
        </w:rPr>
        <w:t>。</w:t>
      </w:r>
    </w:p>
    <w:p w14:paraId="1782983D">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通信协议标准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应用层协议：遵循HJ/T 212污染物在线监测协议</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数据格式：JSON/XML标准格式，支持自定义扩展</w:t>
      </w:r>
      <w:r>
        <w:rPr>
          <w:rFonts w:hint="eastAsia"/>
          <w:color w:val="000000" w:themeColor="text1"/>
          <w:szCs w:val="21"/>
          <w14:textFill>
            <w14:solidFill>
              <w14:schemeClr w14:val="tx1"/>
            </w14:solidFill>
          </w14:textFill>
        </w:rPr>
        <w:t>。</w:t>
      </w:r>
    </w:p>
    <w:p w14:paraId="08171615">
      <w:pPr>
        <w:spacing w:before="312" w:beforeLines="100" w:after="312" w:afterLines="100"/>
        <w:outlineLvl w:val="2"/>
        <w:rPr>
          <w:rFonts w:hint="eastAsia" w:ascii="黑体" w:hAnsi="黑体" w:eastAsia="黑体"/>
          <w:color w:val="000000" w:themeColor="text1"/>
          <w:szCs w:val="21"/>
          <w14:textFill>
            <w14:solidFill>
              <w14:schemeClr w14:val="tx1"/>
            </w14:solidFill>
          </w14:textFill>
        </w:rPr>
      </w:pPr>
      <w:bookmarkStart w:id="66" w:name="_Toc213734855"/>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lang w:val="en-US" w:eastAsia="zh-CN"/>
          <w14:textFill>
            <w14:solidFill>
              <w14:schemeClr w14:val="tx1"/>
            </w14:solidFill>
          </w14:textFill>
        </w:rPr>
        <w:t xml:space="preserve"> </w:t>
      </w:r>
      <w:r>
        <w:rPr>
          <w:rFonts w:ascii="黑体" w:hAnsi="黑体" w:eastAsia="黑体"/>
          <w:color w:val="000000" w:themeColor="text1"/>
          <w:szCs w:val="21"/>
          <w14:textFill>
            <w14:solidFill>
              <w14:schemeClr w14:val="tx1"/>
            </w14:solidFill>
          </w14:textFill>
        </w:rPr>
        <w:t>数据处理</w:t>
      </w:r>
      <w:bookmarkEnd w:id="66"/>
    </w:p>
    <w:p w14:paraId="78B6E6C3">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具有</w:t>
      </w:r>
      <w:r>
        <w:rPr>
          <w:color w:val="000000" w:themeColor="text1"/>
          <w:szCs w:val="21"/>
          <w14:textFill>
            <w14:solidFill>
              <w14:schemeClr w14:val="tx1"/>
            </w14:solidFill>
          </w14:textFill>
        </w:rPr>
        <w:t>实时</w:t>
      </w:r>
      <w:r>
        <w:rPr>
          <w:rFonts w:hint="eastAsia"/>
          <w:color w:val="000000" w:themeColor="text1"/>
          <w:szCs w:val="21"/>
          <w14:textFill>
            <w14:solidFill>
              <w14:schemeClr w14:val="tx1"/>
            </w14:solidFill>
          </w14:textFill>
        </w:rPr>
        <w:t>数据</w:t>
      </w:r>
      <w:r>
        <w:rPr>
          <w:color w:val="000000" w:themeColor="text1"/>
          <w:szCs w:val="21"/>
          <w14:textFill>
            <w14:solidFill>
              <w14:schemeClr w14:val="tx1"/>
            </w14:solidFill>
          </w14:textFill>
        </w:rPr>
        <w:t>处理能力</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数据清洗：自动滤波、去噪、补偿处理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特征提取：实时峰值识别、谱图分析</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浓度反演：基于标准曲线的实时浓度计算</w:t>
      </w:r>
      <w:r>
        <w:rPr>
          <w:rFonts w:hint="eastAsia"/>
          <w:color w:val="000000" w:themeColor="text1"/>
          <w:szCs w:val="21"/>
          <w14:textFill>
            <w14:solidFill>
              <w14:schemeClr w14:val="tx1"/>
            </w14:solidFill>
          </w14:textFill>
        </w:rPr>
        <w:t>。</w:t>
      </w:r>
    </w:p>
    <w:p w14:paraId="1BBFBD74">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自动生成浓度</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深度剖面图</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等值线绘制：三维污染羽可视化</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趋势分析：时空变化趋势识别与预测</w:t>
      </w:r>
      <w:r>
        <w:rPr>
          <w:rFonts w:hint="eastAsia"/>
          <w:color w:val="000000" w:themeColor="text1"/>
          <w:szCs w:val="21"/>
          <w14:textFill>
            <w14:solidFill>
              <w14:schemeClr w14:val="tx1"/>
            </w14:solidFill>
          </w14:textFill>
        </w:rPr>
        <w:t>。</w:t>
      </w:r>
    </w:p>
    <w:p w14:paraId="25D3D34C">
      <w:pPr>
        <w:keepNext w:val="0"/>
        <w:keepLines w:val="0"/>
        <w:pageBreakBefore w:val="0"/>
        <w:widowControl w:val="0"/>
        <w:kinsoku/>
        <w:wordWrap/>
        <w:overflowPunct/>
        <w:topLinePunct w:val="0"/>
        <w:autoSpaceDE/>
        <w:autoSpaceDN/>
        <w:bidi w:val="0"/>
        <w:adjustRightInd/>
        <w:snapToGrid/>
        <w:spacing w:before="312" w:beforeLines="100" w:after="312" w:afterLines="100"/>
        <w:textAlignment w:val="auto"/>
        <w:outlineLvl w:val="2"/>
        <w:rPr>
          <w:rFonts w:hint="eastAsia" w:ascii="黑体" w:hAnsi="黑体" w:eastAsia="黑体" w:cs="黑体"/>
          <w:color w:val="000000" w:themeColor="text1"/>
          <w:szCs w:val="21"/>
          <w14:textFill>
            <w14:solidFill>
              <w14:schemeClr w14:val="tx1"/>
            </w14:solidFill>
          </w14:textFill>
        </w:rPr>
      </w:pPr>
      <w:bookmarkStart w:id="67" w:name="_Toc213734856"/>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lang w:val="en-US" w:eastAsia="zh-CN"/>
          <w14:textFill>
            <w14:solidFill>
              <w14:schemeClr w14:val="tx1"/>
            </w14:solidFill>
          </w14:textFill>
        </w:rPr>
        <w:t>9</w:t>
      </w:r>
      <w:r>
        <w:rPr>
          <w:rFonts w:hint="eastAsia" w:ascii="黑体" w:hAnsi="黑体" w:eastAsia="黑体" w:cs="黑体"/>
          <w:color w:val="000000" w:themeColor="text1"/>
          <w:szCs w:val="21"/>
          <w14:textFill>
            <w14:solidFill>
              <w14:schemeClr w14:val="tx1"/>
            </w14:solidFill>
          </w14:textFill>
        </w:rPr>
        <w:t xml:space="preserve">.5 </w:t>
      </w:r>
      <w:r>
        <w:rPr>
          <w:rFonts w:hint="eastAsia" w:ascii="黑体" w:hAnsi="黑体" w:eastAsia="黑体" w:cs="黑体"/>
          <w:color w:val="000000" w:themeColor="text1"/>
          <w:szCs w:val="21"/>
          <w:lang w:val="en-US" w:eastAsia="zh-CN"/>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系统接口</w:t>
      </w:r>
      <w:bookmarkEnd w:id="67"/>
    </w:p>
    <w:p w14:paraId="4A5DE160">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1硬件接口标准</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机械接口：符合IP67防护等级，防腐蚀设计</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电气接口：24VDC供电，过压过流保护</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扩展接口：预留3个标准扩展槽位</w:t>
      </w:r>
      <w:r>
        <w:rPr>
          <w:rFonts w:hint="eastAsia"/>
          <w:color w:val="000000" w:themeColor="text1"/>
          <w:szCs w:val="21"/>
          <w14:textFill>
            <w14:solidFill>
              <w14:schemeClr w14:val="tx1"/>
            </w14:solidFill>
          </w14:textFill>
        </w:rPr>
        <w:t>。</w:t>
      </w:r>
    </w:p>
    <w:p w14:paraId="0E9C06C1">
      <w:pPr>
        <w:spacing w:after="156" w:afterLines="50"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​2软件接口规范</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API接口：RESTful API，支持第三方系统接入</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数据交换：支持WebService、FTP等多种方式</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协议转换：支持多协议自动识别和转换</w:t>
      </w:r>
      <w:r>
        <w:rPr>
          <w:rFonts w:hint="eastAsia"/>
          <w:color w:val="000000" w:themeColor="text1"/>
          <w:szCs w:val="21"/>
          <w14:textFill>
            <w14:solidFill>
              <w14:schemeClr w14:val="tx1"/>
            </w14:solidFill>
          </w14:textFill>
        </w:rPr>
        <w:t>。</w:t>
      </w:r>
    </w:p>
    <w:p w14:paraId="49AA9A68">
      <w:pPr>
        <w:pStyle w:val="22"/>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68" w:name="_Toc179444643"/>
      <w:bookmarkStart w:id="69" w:name="_Toc16865"/>
      <w:bookmarkStart w:id="70" w:name="_Toc213734857"/>
      <w:r>
        <w:rPr>
          <w:rFonts w:hint="eastAsia" w:ascii="黑体" w:hAnsi="黑体" w:eastAsia="黑体"/>
          <w:color w:val="000000" w:themeColor="text1"/>
          <w14:textFill>
            <w14:solidFill>
              <w14:schemeClr w14:val="tx1"/>
            </w14:solidFill>
          </w14:textFill>
        </w:rPr>
        <w:t>作业程序</w:t>
      </w:r>
      <w:bookmarkEnd w:id="68"/>
      <w:bookmarkEnd w:id="69"/>
      <w:bookmarkEnd w:id="70"/>
    </w:p>
    <w:p w14:paraId="30F26884">
      <w:pPr>
        <w:spacing w:after="156" w:afterLines="50" w:line="360" w:lineRule="auto"/>
        <w:ind w:firstLine="436" w:firstLineChars="200"/>
        <w:rPr>
          <w:color w:val="000000" w:themeColor="text1"/>
          <w:szCs w:val="21"/>
          <w14:textFill>
            <w14:solidFill>
              <w14:schemeClr w14:val="tx1"/>
            </w14:solidFill>
          </w14:textFill>
        </w:rPr>
      </w:pPr>
      <w:r>
        <w:rPr>
          <w:rFonts w:ascii="Helvetica" w:hAnsi="Helvetica" w:eastAsia="Helvetica" w:cs="Helvetica"/>
          <w:color w:val="060607"/>
          <w:spacing w:val="4"/>
          <w:szCs w:val="21"/>
          <w:shd w:val="clear" w:color="auto" w:fill="FFFFFF"/>
        </w:rPr>
        <w:t>开展场地调查时，使用</w:t>
      </w:r>
      <w:r>
        <w:rPr>
          <w:rFonts w:hint="eastAsia" w:ascii="宋体" w:hAnsi="宋体" w:cs="宋体"/>
          <w:color w:val="060607"/>
          <w:spacing w:val="4"/>
          <w:szCs w:val="21"/>
          <w:shd w:val="clear" w:color="auto" w:fill="FFFFFF"/>
        </w:rPr>
        <w:t>原位污染探测直推式采样与实时检测一体化系统</w:t>
      </w:r>
      <w:r>
        <w:rPr>
          <w:rFonts w:ascii="Helvetica" w:hAnsi="Helvetica" w:eastAsia="Helvetica" w:cs="Helvetica"/>
          <w:color w:val="060607"/>
          <w:spacing w:val="4"/>
          <w:szCs w:val="21"/>
          <w:shd w:val="clear" w:color="auto" w:fill="FFFFFF"/>
        </w:rPr>
        <w:t>的主要流程包括：</w:t>
      </w:r>
    </w:p>
    <w:p w14:paraId="5EA05689">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71" w:name="_Toc179444644"/>
      <w:bookmarkStart w:id="72" w:name="_Toc213734858"/>
      <w:r>
        <w:rPr>
          <w:rFonts w:hint="eastAsia" w:ascii="黑体" w:hAnsi="黑体" w:eastAsia="黑体"/>
          <w:color w:val="000000" w:themeColor="text1"/>
          <w14:textFill>
            <w14:solidFill>
              <w14:schemeClr w14:val="tx1"/>
            </w14:solidFill>
          </w14:textFill>
        </w:rPr>
        <w:t>调查方案制定</w:t>
      </w:r>
      <w:bookmarkEnd w:id="71"/>
      <w:bookmarkEnd w:id="72"/>
    </w:p>
    <w:p w14:paraId="4824A3A8">
      <w:pPr>
        <w:spacing w:after="156" w:afterLines="50" w:line="360" w:lineRule="auto"/>
        <w:ind w:firstLine="436" w:firstLineChars="200"/>
      </w:pPr>
      <w:r>
        <w:rPr>
          <w:rFonts w:ascii="Helvetica" w:hAnsi="Helvetica" w:eastAsia="Helvetica" w:cs="Helvetica"/>
          <w:color w:val="060607"/>
          <w:spacing w:val="4"/>
          <w:szCs w:val="21"/>
          <w:shd w:val="clear" w:color="auto" w:fill="FFFFFF"/>
        </w:rPr>
        <w:t>对目标调查修复场地进行详细调研，依据装备的应用场景和潜在污染物，制定包括样品采集和分析在内的现场监测方案</w:t>
      </w:r>
      <w:r>
        <w:rPr>
          <w:rFonts w:hint="eastAsia"/>
        </w:rPr>
        <w:t>。</w:t>
      </w:r>
    </w:p>
    <w:p w14:paraId="40A72E5C">
      <w:pPr>
        <w:spacing w:after="156" w:afterLines="50" w:line="360" w:lineRule="auto"/>
        <w:ind w:firstLine="420" w:firstLineChars="200"/>
      </w:pPr>
      <w:r>
        <w:rPr>
          <w:rFonts w:hint="eastAsia"/>
        </w:rPr>
        <w:t>检测项目按照第一</w:t>
      </w:r>
      <w:r>
        <w:rPr>
          <w:rFonts w:hint="eastAsia" w:ascii="宋体" w:hAnsi="宋体" w:cs="宋体"/>
          <w:color w:val="060607"/>
          <w:spacing w:val="4"/>
          <w:szCs w:val="21"/>
          <w:shd w:val="clear" w:color="auto" w:fill="FFFFFF"/>
        </w:rPr>
        <w:t>阶段</w:t>
      </w:r>
      <w:r>
        <w:rPr>
          <w:rFonts w:hint="eastAsia"/>
        </w:rPr>
        <w:t>调查确定的场地内外潜在污染源和污染物，同时考虑污染物的迁移转化，判断样品的检测分析项目；对于不能确定的项目，可选取潜在典型污染样品进行筛选分析。</w:t>
      </w:r>
    </w:p>
    <w:p w14:paraId="68AA6074">
      <w:pPr>
        <w:spacing w:after="156" w:afterLines="50" w:line="360" w:lineRule="auto"/>
        <w:ind w:firstLine="420" w:firstLineChars="200"/>
        <w:rPr>
          <w:color w:val="000000" w:themeColor="text1"/>
          <w:szCs w:val="21"/>
          <w14:textFill>
            <w14:solidFill>
              <w14:schemeClr w14:val="tx1"/>
            </w14:solidFill>
          </w14:textFill>
        </w:rPr>
      </w:pPr>
      <w:r>
        <w:rPr>
          <w:rFonts w:hint="eastAsia"/>
        </w:rPr>
        <w:t>监测方案应充分考虑原位污染探测直推式采样与实时检测一体化系统的检测能力，将现场检测能力与实验室分析能力相结合，确保原位污染探测直推式采样与实时检测一体化系统的检测能力得到有效发挥。</w:t>
      </w:r>
    </w:p>
    <w:p w14:paraId="6B432498">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73" w:name="_Toc213734859"/>
      <w:bookmarkStart w:id="74" w:name="_Toc179444646"/>
      <w:r>
        <w:rPr>
          <w:rFonts w:hint="eastAsia" w:ascii="黑体" w:hAnsi="黑体" w:eastAsia="黑体"/>
          <w:color w:val="000000" w:themeColor="text1"/>
          <w14:textFill>
            <w14:solidFill>
              <w14:schemeClr w14:val="tx1"/>
            </w14:solidFill>
          </w14:textFill>
        </w:rPr>
        <w:t>钻进取样</w:t>
      </w:r>
      <w:bookmarkEnd w:id="73"/>
      <w:bookmarkEnd w:id="74"/>
    </w:p>
    <w:p w14:paraId="09DFCEFD">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pPr>
      <w:r>
        <w:rPr>
          <w:rFonts w:hint="eastAsia"/>
        </w:rPr>
        <w:t>根据调查采样</w:t>
      </w:r>
      <w:r>
        <w:rPr>
          <w:rFonts w:hint="eastAsia" w:ascii="宋体" w:hAnsi="宋体" w:cs="宋体"/>
          <w:color w:val="060607"/>
          <w:spacing w:val="4"/>
          <w:szCs w:val="21"/>
          <w:shd w:val="clear" w:color="auto" w:fill="FFFFFF"/>
        </w:rPr>
        <w:t>场地</w:t>
      </w:r>
      <w:r>
        <w:rPr>
          <w:rFonts w:hint="eastAsia"/>
        </w:rPr>
        <w:t>土壤质地，选择</w:t>
      </w:r>
      <w:r>
        <w:t>单套管连续土壤采样技术</w:t>
      </w:r>
      <w:r>
        <w:rPr>
          <w:rFonts w:hint="eastAsia"/>
        </w:rPr>
        <w:t>、</w:t>
      </w:r>
      <w:r>
        <w:t>双动双套管连续土壤采样技术</w:t>
      </w:r>
      <w:r>
        <w:rPr>
          <w:rFonts w:hint="eastAsia"/>
        </w:rPr>
        <w:t>、</w:t>
      </w:r>
      <w:r>
        <w:t>直推定深土壤采样技术</w:t>
      </w:r>
      <w:r>
        <w:rPr>
          <w:rFonts w:hint="eastAsia"/>
        </w:rPr>
        <w:t>、</w:t>
      </w:r>
      <w:r>
        <w:t>高频直推半合管土壤采样技术</w:t>
      </w:r>
      <w:r>
        <w:rPr>
          <w:rFonts w:hint="eastAsia"/>
        </w:rPr>
        <w:t>、</w:t>
      </w:r>
      <w:r>
        <w:t>单动双套管连续土壤采样技术</w:t>
      </w:r>
      <w:r>
        <w:rPr>
          <w:rFonts w:hint="eastAsia"/>
        </w:rPr>
        <w:t>等采样技术进行采样，采样技术的选择可以参考</w:t>
      </w:r>
      <w:r>
        <w:t>DB 32/T XXXX—XXXX</w:t>
      </w:r>
      <w:r>
        <w:rPr>
          <w:rFonts w:hint="eastAsia"/>
        </w:rPr>
        <w:t xml:space="preserve"> </w:t>
      </w:r>
      <w:r>
        <w:t>直推式土壤采样技术规范</w:t>
      </w:r>
      <w:r>
        <w:rPr>
          <w:rFonts w:hint="eastAsia"/>
        </w:rPr>
        <w:t>。</w:t>
      </w:r>
    </w:p>
    <w:p w14:paraId="6A146572">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pPr>
      <w:r>
        <w:rPr>
          <w:rFonts w:hint="eastAsia"/>
        </w:rPr>
        <w:t>钻进作业前应检查钻杆螺纹连接处的清洁度，确保钻机机油充足，无漏油、漏液等情况。启动钻机，按照直推式钻机的操作说明书进行钻进和土壤取样。</w:t>
      </w:r>
    </w:p>
    <w:p w14:paraId="2B84C6B1">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pPr>
      <w:r>
        <w:t>根据采样调查目的</w:t>
      </w:r>
      <w:r>
        <w:rPr>
          <w:rFonts w:hint="eastAsia"/>
        </w:rPr>
        <w:t>和样品检测方案</w:t>
      </w:r>
      <w:r>
        <w:t>，样品</w:t>
      </w:r>
      <w:r>
        <w:rPr>
          <w:rFonts w:hint="eastAsia"/>
        </w:rPr>
        <w:t>送现场移动式污染探测装备或实验室分析，</w:t>
      </w:r>
      <w:r>
        <w:t>采集、保存和流转按照环办土壤</w:t>
      </w:r>
      <w:r>
        <w:rPr>
          <w:rFonts w:hint="eastAsia"/>
          <w:lang w:eastAsia="zh-CN"/>
        </w:rPr>
        <w:t>〔2017〕67号</w:t>
      </w:r>
      <w:r>
        <w:t>、HJ 25.2、HJ/T 166执行。</w:t>
      </w:r>
    </w:p>
    <w:p w14:paraId="1FC74CF1">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75" w:name="_Toc213734860"/>
      <w:r>
        <w:rPr>
          <w:rFonts w:hint="eastAsia" w:ascii="黑体" w:hAnsi="黑体" w:eastAsia="黑体"/>
          <w:color w:val="000000" w:themeColor="text1"/>
          <w14:textFill>
            <w14:solidFill>
              <w14:schemeClr w14:val="tx1"/>
            </w14:solidFill>
          </w14:textFill>
        </w:rPr>
        <w:t>多污染探测</w:t>
      </w:r>
      <w:bookmarkEnd w:id="75"/>
    </w:p>
    <w:p w14:paraId="3BDF8ED2">
      <w:pPr>
        <w:spacing w:after="156" w:afterLines="50" w:line="360" w:lineRule="auto"/>
        <w:ind w:firstLine="420" w:firstLineChars="200"/>
      </w:pPr>
      <w:r>
        <w:rPr>
          <w:rFonts w:hint="eastAsia"/>
        </w:rPr>
        <w:t>包括MIP检测、地下水采样检测、LIF检测、水力剖面探测，每项检测都应按照相应的操作手册进行，并记录检测结果。</w:t>
      </w:r>
    </w:p>
    <w:p w14:paraId="0A76DCE4">
      <w:pPr>
        <w:pStyle w:val="22"/>
        <w:numPr>
          <w:ilvl w:val="2"/>
          <w:numId w:val="1"/>
        </w:numPr>
        <w:spacing w:before="312" w:beforeLines="100" w:after="312" w:afterLines="100"/>
        <w:ind w:left="709" w:leftChars="0" w:hanging="709" w:firstLineChars="0"/>
        <w:outlineLvl w:val="2"/>
        <w:rPr>
          <w:rFonts w:hint="eastAsia" w:ascii="黑体" w:hAnsi="黑体" w:eastAsia="黑体"/>
          <w:color w:val="000000" w:themeColor="text1"/>
          <w14:textFill>
            <w14:solidFill>
              <w14:schemeClr w14:val="tx1"/>
            </w14:solidFill>
          </w14:textFill>
        </w:rPr>
      </w:pPr>
      <w:bookmarkStart w:id="76" w:name="_Toc213734861"/>
      <w:bookmarkStart w:id="77" w:name="_Toc179444647"/>
      <w:r>
        <w:rPr>
          <w:rFonts w:hint="eastAsia" w:ascii="黑体" w:hAnsi="黑体" w:eastAsia="黑体"/>
          <w:color w:val="000000" w:themeColor="text1"/>
          <w14:textFill>
            <w14:solidFill>
              <w14:schemeClr w14:val="tx1"/>
            </w14:solidFill>
          </w14:textFill>
        </w:rPr>
        <w:t>MIP检测</w:t>
      </w:r>
      <w:bookmarkEnd w:id="76"/>
      <w:bookmarkEnd w:id="77"/>
    </w:p>
    <w:p w14:paraId="0D04DF10">
      <w:pPr>
        <w:spacing w:after="156" w:afterLines="50" w:line="360" w:lineRule="auto"/>
        <w:ind w:firstLine="420" w:firstLineChars="200"/>
      </w:pPr>
      <w:r>
        <w:rPr>
          <w:rFonts w:hint="eastAsia"/>
        </w:rPr>
        <w:t>使用MIP钻头</w:t>
      </w:r>
      <w:r>
        <w:rPr>
          <w:rFonts w:hint="eastAsia"/>
          <w:lang w:eastAsia="zh-CN"/>
        </w:rPr>
        <w:t>进行</w:t>
      </w:r>
      <w:r>
        <w:rPr>
          <w:rFonts w:hint="eastAsia"/>
        </w:rPr>
        <w:t>随钻随</w:t>
      </w:r>
      <w:r>
        <w:rPr>
          <w:rFonts w:hint="eastAsia" w:ascii="宋体" w:hAnsi="宋体" w:cs="宋体"/>
          <w:color w:val="060607"/>
          <w:spacing w:val="4"/>
          <w:szCs w:val="21"/>
          <w:shd w:val="clear" w:color="auto" w:fill="FFFFFF"/>
        </w:rPr>
        <w:t>测时</w:t>
      </w:r>
      <w:r>
        <w:rPr>
          <w:rFonts w:hint="eastAsia"/>
        </w:rPr>
        <w:t>，</w:t>
      </w:r>
      <w:r>
        <w:t>MIP 探头</w:t>
      </w:r>
      <w:r>
        <w:rPr>
          <w:rFonts w:hint="eastAsia"/>
        </w:rPr>
        <w:t>宜</w:t>
      </w:r>
      <w:r>
        <w:t>以 0.3</w:t>
      </w:r>
      <w:r>
        <w:rPr>
          <w:rFonts w:hint="eastAsia"/>
          <w:lang w:val="en-US" w:eastAsia="zh-CN"/>
        </w:rPr>
        <w:t xml:space="preserve"> </w:t>
      </w:r>
      <w:r>
        <w:t>m/15s 的速度稳定钻进</w:t>
      </w:r>
      <w:r>
        <w:rPr>
          <w:rFonts w:hint="eastAsia"/>
        </w:rPr>
        <w:t>，每钻进0.3</w:t>
      </w:r>
      <w:r>
        <w:rPr>
          <w:rFonts w:hint="eastAsia"/>
          <w:lang w:val="en-US" w:eastAsia="zh-CN"/>
        </w:rPr>
        <w:t xml:space="preserve"> </w:t>
      </w:r>
      <w:r>
        <w:rPr>
          <w:rFonts w:hint="eastAsia"/>
        </w:rPr>
        <w:t>m～0.5</w:t>
      </w:r>
      <w:r>
        <w:rPr>
          <w:rFonts w:hint="eastAsia"/>
          <w:lang w:val="en-US" w:eastAsia="zh-CN"/>
        </w:rPr>
        <w:t xml:space="preserve"> </w:t>
      </w:r>
      <w:r>
        <w:rPr>
          <w:rFonts w:hint="eastAsia"/>
        </w:rPr>
        <w:t>m应</w:t>
      </w:r>
      <w:r>
        <w:t>停留</w:t>
      </w:r>
      <w:r>
        <w:rPr>
          <w:rFonts w:hint="eastAsia"/>
        </w:rPr>
        <w:t>一次，停留时间应不短于测试时的响应时间确定，</w:t>
      </w:r>
      <w:r>
        <w:t>确保地下污染物得到充分的捕集。</w:t>
      </w:r>
    </w:p>
    <w:p w14:paraId="0EEE2030">
      <w:pPr>
        <w:spacing w:after="156" w:afterLines="50" w:line="360" w:lineRule="auto"/>
        <w:ind w:firstLine="420" w:firstLineChars="200"/>
      </w:pPr>
      <w:r>
        <w:rPr>
          <w:rFonts w:hint="eastAsia"/>
          <w:color w:val="000000" w:themeColor="text1"/>
          <w:szCs w:val="21"/>
          <w14:textFill>
            <w14:solidFill>
              <w14:schemeClr w14:val="tx1"/>
            </w14:solidFill>
          </w14:textFill>
        </w:rPr>
        <w:t>MIP钻头的使用和</w:t>
      </w:r>
      <w:r>
        <w:rPr>
          <w:rFonts w:hint="eastAsia" w:ascii="宋体" w:hAnsi="宋体" w:cs="宋体"/>
          <w:color w:val="060607"/>
          <w:spacing w:val="4"/>
          <w:szCs w:val="21"/>
          <w:shd w:val="clear" w:color="auto" w:fill="FFFFFF"/>
        </w:rPr>
        <w:t>注意</w:t>
      </w:r>
      <w:r>
        <w:rPr>
          <w:rFonts w:hint="eastAsia"/>
          <w:color w:val="000000" w:themeColor="text1"/>
          <w:szCs w:val="21"/>
          <w14:textFill>
            <w14:solidFill>
              <w14:schemeClr w14:val="tx1"/>
            </w14:solidFill>
          </w14:textFill>
        </w:rPr>
        <w:t>事项参考</w:t>
      </w:r>
      <w:r>
        <w:rPr>
          <w:rFonts w:hint="eastAsia"/>
        </w:rPr>
        <w:t>《</w:t>
      </w:r>
      <w:r>
        <w:rPr>
          <w:rFonts w:hint="default" w:ascii="Times New Roman" w:hAnsi="Times New Roman" w:cs="Times New Roman"/>
        </w:rPr>
        <w:t>HG/T 20725 工业有机</w:t>
      </w:r>
      <w:r>
        <w:rPr>
          <w:rFonts w:hint="eastAsia"/>
        </w:rPr>
        <w:t>污染场地膜界面探测技术规范》</w:t>
      </w:r>
      <w:r>
        <w:rPr>
          <w:rFonts w:hint="eastAsia"/>
          <w:color w:val="000000" w:themeColor="text1"/>
          <w:szCs w:val="21"/>
          <w14:textFill>
            <w14:solidFill>
              <w14:schemeClr w14:val="tx1"/>
            </w14:solidFill>
          </w14:textFill>
        </w:rPr>
        <w:t>相关要求。</w:t>
      </w:r>
    </w:p>
    <w:p w14:paraId="60558DD4">
      <w:pPr>
        <w:pStyle w:val="22"/>
        <w:numPr>
          <w:ilvl w:val="2"/>
          <w:numId w:val="1"/>
        </w:numPr>
        <w:spacing w:before="312" w:beforeLines="100" w:after="312" w:afterLines="100"/>
        <w:ind w:left="709" w:leftChars="0" w:hanging="709" w:firstLineChars="0"/>
        <w:outlineLvl w:val="2"/>
        <w:rPr>
          <w:rFonts w:hint="eastAsia" w:ascii="黑体" w:hAnsi="黑体" w:eastAsia="黑体"/>
          <w:color w:val="000000" w:themeColor="text1"/>
          <w14:textFill>
            <w14:solidFill>
              <w14:schemeClr w14:val="tx1"/>
            </w14:solidFill>
          </w14:textFill>
        </w:rPr>
      </w:pPr>
      <w:bookmarkStart w:id="78" w:name="_Toc213734862"/>
      <w:r>
        <w:rPr>
          <w:rFonts w:hint="eastAsia" w:ascii="黑体" w:hAnsi="黑体" w:eastAsia="黑体"/>
          <w:color w:val="000000" w:themeColor="text1"/>
          <w14:textFill>
            <w14:solidFill>
              <w14:schemeClr w14:val="tx1"/>
            </w14:solidFill>
          </w14:textFill>
        </w:rPr>
        <w:t>地下水采样检测</w:t>
      </w:r>
      <w:bookmarkEnd w:id="78"/>
    </w:p>
    <w:p w14:paraId="4D2EE74A">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bookmarkStart w:id="79" w:name="_Toc179444649"/>
      <w:r>
        <w:rPr>
          <w:rFonts w:hint="eastAsia"/>
          <w:color w:val="000000" w:themeColor="text1"/>
          <w:szCs w:val="21"/>
          <w14:textFill>
            <w14:solidFill>
              <w14:schemeClr w14:val="tx1"/>
            </w14:solidFill>
          </w14:textFill>
        </w:rPr>
        <w:t>采样前应先进行洗井，控制抽提速率，避免扰动井内水体，并同步测量地下水位。洗井结束的标准为浊度小于或等于10NTU，或浊度、电导率、pH连续三次测定的变化在相应范围内，或洗井抽出水量达到井内水体积的3至5倍。</w:t>
      </w:r>
    </w:p>
    <w:p w14:paraId="1B6BE398">
      <w:pPr>
        <w:keepNext w:val="0"/>
        <w:keepLines w:val="0"/>
        <w:pageBreakBefore w:val="0"/>
        <w:widowControl w:val="0"/>
        <w:kinsoku/>
        <w:wordWrap/>
        <w:overflowPunct/>
        <w:topLinePunct w:val="0"/>
        <w:autoSpaceDE/>
        <w:autoSpaceDN/>
        <w:bidi w:val="0"/>
        <w:adjustRightInd/>
        <w:snapToGrid/>
        <w:spacing w:after="157" w:afterLines="50" w:line="360" w:lineRule="auto"/>
        <w:ind w:firstLine="436" w:firstLineChars="200"/>
        <w:textAlignment w:val="auto"/>
        <w:rPr>
          <w:color w:val="000000" w:themeColor="text1"/>
          <w:szCs w:val="21"/>
          <w14:textFill>
            <w14:solidFill>
              <w14:schemeClr w14:val="tx1"/>
            </w14:solidFill>
          </w14:textFill>
        </w:rPr>
      </w:pPr>
      <w:r>
        <w:rPr>
          <w:rFonts w:ascii="Helvetica" w:hAnsi="Helvetica" w:eastAsia="Helvetica" w:cs="Helvetica"/>
          <w:color w:val="060607"/>
          <w:spacing w:val="4"/>
          <w:szCs w:val="21"/>
          <w:shd w:val="clear" w:color="auto" w:fill="FFFFFF"/>
        </w:rPr>
        <w:t>根据监测项目要求</w:t>
      </w:r>
      <w:r>
        <w:rPr>
          <w:rFonts w:ascii="宋体" w:hAnsi="宋体" w:cs="宋体"/>
          <w:color w:val="060607"/>
          <w:spacing w:val="4"/>
          <w:szCs w:val="21"/>
          <w:shd w:val="clear" w:color="auto" w:fill="FFFFFF"/>
        </w:rPr>
        <w:t>选择</w:t>
      </w:r>
      <w:r>
        <w:rPr>
          <w:rFonts w:ascii="Helvetica" w:hAnsi="Helvetica" w:eastAsia="Helvetica" w:cs="Helvetica"/>
          <w:color w:val="060607"/>
          <w:spacing w:val="4"/>
          <w:szCs w:val="21"/>
          <w:shd w:val="clear" w:color="auto" w:fill="FFFFFF"/>
        </w:rPr>
        <w:t>合适的采样方法，并按挥发性有机物、半挥发性有机物、稳定有机物及微生物样品、重金属和普通无机物的顺序采集。采样时应避免扰动井内水体，并控制采样流速</w:t>
      </w:r>
      <w:r>
        <w:rPr>
          <w:rFonts w:hint="eastAsia"/>
          <w:color w:val="000000" w:themeColor="text1"/>
          <w:szCs w:val="21"/>
          <w14:textFill>
            <w14:solidFill>
              <w14:schemeClr w14:val="tx1"/>
            </w14:solidFill>
          </w14:textFill>
        </w:rPr>
        <w:t>。若样品在采集过程中水质易发生较大变化，可适当加大采样流速，但最高不得超过 500</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ml/min。</w:t>
      </w:r>
    </w:p>
    <w:p w14:paraId="1506EC4D">
      <w:pPr>
        <w:keepNext w:val="0"/>
        <w:keepLines w:val="0"/>
        <w:pageBreakBefore w:val="0"/>
        <w:widowControl w:val="0"/>
        <w:kinsoku/>
        <w:wordWrap/>
        <w:overflowPunct/>
        <w:topLinePunct w:val="0"/>
        <w:autoSpaceDE/>
        <w:autoSpaceDN/>
        <w:bidi w:val="0"/>
        <w:adjustRightInd/>
        <w:snapToGrid/>
        <w:spacing w:after="157" w:afterLines="50" w:line="360" w:lineRule="auto"/>
        <w:ind w:firstLine="436" w:firstLineChars="200"/>
        <w:textAlignment w:val="auto"/>
        <w:rPr>
          <w:color w:val="000000" w:themeColor="text1"/>
          <w:szCs w:val="21"/>
          <w14:textFill>
            <w14:solidFill>
              <w14:schemeClr w14:val="tx1"/>
            </w14:solidFill>
          </w14:textFill>
        </w:rPr>
      </w:pPr>
      <w:r>
        <w:rPr>
          <w:rFonts w:ascii="Helvetica" w:hAnsi="Helvetica" w:eastAsia="Helvetica" w:cs="Helvetica"/>
          <w:color w:val="060607"/>
          <w:spacing w:val="4"/>
          <w:szCs w:val="21"/>
          <w:shd w:val="clear" w:color="auto" w:fill="FFFFFF"/>
        </w:rPr>
        <w:t>为保证样品</w:t>
      </w:r>
      <w:r>
        <w:rPr>
          <w:rFonts w:ascii="宋体" w:hAnsi="宋体" w:cs="宋体"/>
          <w:color w:val="060607"/>
          <w:spacing w:val="4"/>
          <w:szCs w:val="21"/>
          <w:shd w:val="clear" w:color="auto" w:fill="FFFFFF"/>
        </w:rPr>
        <w:t>稳定性</w:t>
      </w:r>
      <w:r>
        <w:rPr>
          <w:rFonts w:ascii="Helvetica" w:hAnsi="Helvetica" w:eastAsia="Helvetica" w:cs="Helvetica"/>
          <w:color w:val="060607"/>
          <w:spacing w:val="4"/>
          <w:szCs w:val="21"/>
          <w:shd w:val="clear" w:color="auto" w:fill="FFFFFF"/>
        </w:rPr>
        <w:t>和可靠性，根据</w:t>
      </w:r>
      <w:r>
        <w:rPr>
          <w:rFonts w:hint="eastAsia" w:ascii="Helvetica" w:hAnsi="Helvetica" w:cs="Helvetica"/>
          <w:color w:val="060607"/>
          <w:spacing w:val="4"/>
          <w:szCs w:val="21"/>
          <w:shd w:val="clear" w:color="auto" w:fill="FFFFFF"/>
          <w:lang w:eastAsia="zh-CN"/>
        </w:rPr>
        <w:t>检测</w:t>
      </w:r>
      <w:r>
        <w:rPr>
          <w:rFonts w:ascii="Helvetica" w:hAnsi="Helvetica" w:eastAsia="Helvetica" w:cs="Helvetica"/>
          <w:color w:val="060607"/>
          <w:spacing w:val="4"/>
          <w:szCs w:val="21"/>
          <w:shd w:val="clear" w:color="auto" w:fill="FFFFFF"/>
        </w:rPr>
        <w:t>项目要求选择合适的保存剂和保存方法。样品保存应</w:t>
      </w:r>
      <w:r>
        <w:rPr>
          <w:rFonts w:hint="eastAsia"/>
          <w:color w:val="000000" w:themeColor="text1"/>
          <w:szCs w:val="21"/>
          <w14:textFill>
            <w14:solidFill>
              <w14:schemeClr w14:val="tx1"/>
            </w14:solidFill>
          </w14:textFill>
        </w:rPr>
        <w:t>符合相关规定，并在规定时间内送达实验室保存。</w:t>
      </w:r>
    </w:p>
    <w:p w14:paraId="45A414A6">
      <w:pPr>
        <w:keepNext w:val="0"/>
        <w:keepLines w:val="0"/>
        <w:pageBreakBefore w:val="0"/>
        <w:widowControl w:val="0"/>
        <w:kinsoku/>
        <w:wordWrap/>
        <w:overflowPunct/>
        <w:topLinePunct w:val="0"/>
        <w:autoSpaceDE/>
        <w:autoSpaceDN/>
        <w:bidi w:val="0"/>
        <w:adjustRightInd/>
        <w:snapToGrid/>
        <w:spacing w:after="157" w:afterLines="50" w:line="360" w:lineRule="auto"/>
        <w:ind w:firstLine="420" w:firstLineChars="200"/>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样品送现场移动式多污染快速探测装备或实验室分析，采集、保存和流转应遵循HJ 164-2020、HJ 25.2、HJ/T 166等相关标准</w:t>
      </w:r>
      <w:bookmarkEnd w:id="79"/>
      <w:r>
        <w:rPr>
          <w:rFonts w:hint="eastAsia"/>
          <w:color w:val="000000" w:themeColor="text1"/>
          <w:szCs w:val="21"/>
          <w14:textFill>
            <w14:solidFill>
              <w14:schemeClr w14:val="tx1"/>
            </w14:solidFill>
          </w14:textFill>
        </w:rPr>
        <w:t>。</w:t>
      </w:r>
    </w:p>
    <w:p w14:paraId="42B8F381">
      <w:pPr>
        <w:pStyle w:val="22"/>
        <w:numPr>
          <w:ilvl w:val="2"/>
          <w:numId w:val="1"/>
        </w:numPr>
        <w:spacing w:before="312" w:beforeLines="100" w:after="312" w:afterLines="100"/>
        <w:ind w:left="709" w:leftChars="0" w:hanging="709" w:firstLineChars="0"/>
        <w:outlineLvl w:val="2"/>
        <w:rPr>
          <w:rFonts w:hint="eastAsia" w:ascii="黑体" w:hAnsi="黑体" w:eastAsia="黑体"/>
          <w:color w:val="000000" w:themeColor="text1"/>
          <w14:textFill>
            <w14:solidFill>
              <w14:schemeClr w14:val="tx1"/>
            </w14:solidFill>
          </w14:textFill>
        </w:rPr>
      </w:pPr>
      <w:bookmarkStart w:id="80" w:name="_Toc213734863"/>
      <w:bookmarkStart w:id="81" w:name="_Toc179444651"/>
      <w:r>
        <w:rPr>
          <w:rFonts w:hint="eastAsia" w:ascii="黑体" w:hAnsi="黑体" w:eastAsia="黑体"/>
          <w:color w:val="000000" w:themeColor="text1"/>
          <w14:textFill>
            <w14:solidFill>
              <w14:schemeClr w14:val="tx1"/>
            </w14:solidFill>
          </w14:textFill>
        </w:rPr>
        <w:t>激光诱导荧光检测</w:t>
      </w:r>
      <w:bookmarkEnd w:id="80"/>
    </w:p>
    <w:p w14:paraId="4C62757A">
      <w:pPr>
        <w:spacing w:after="156" w:afterLines="50" w:line="360" w:lineRule="auto"/>
        <w:ind w:firstLine="436" w:firstLineChars="200"/>
        <w:rPr>
          <w:color w:val="000000" w:themeColor="text1"/>
          <w:szCs w:val="21"/>
          <w14:textFill>
            <w14:solidFill>
              <w14:schemeClr w14:val="tx1"/>
            </w14:solidFill>
          </w14:textFill>
        </w:rPr>
      </w:pPr>
      <w:r>
        <w:rPr>
          <w:rFonts w:ascii="Helvetica" w:hAnsi="Helvetica" w:eastAsia="Helvetica" w:cs="Helvetica"/>
          <w:color w:val="060607"/>
          <w:spacing w:val="4"/>
          <w:szCs w:val="21"/>
          <w:shd w:val="clear" w:color="auto" w:fill="FFFFFF"/>
        </w:rPr>
        <w:t>采集具有代表性的水样，进行适当的预处理，如过滤、稀释等，以去除干扰物质或调整样品浓度</w:t>
      </w:r>
      <w:r>
        <w:rPr>
          <w:rFonts w:hint="eastAsia"/>
          <w:color w:val="000000" w:themeColor="text1"/>
          <w:szCs w:val="21"/>
          <w14:textFill>
            <w14:solidFill>
              <w14:schemeClr w14:val="tx1"/>
            </w14:solidFill>
          </w14:textFill>
        </w:rPr>
        <w:t>。</w:t>
      </w:r>
      <w:r>
        <w:rPr>
          <w:rFonts w:ascii="Helvetica" w:hAnsi="Helvetica" w:eastAsia="Helvetica" w:cs="Helvetica"/>
          <w:color w:val="060607"/>
          <w:spacing w:val="4"/>
          <w:szCs w:val="21"/>
          <w:shd w:val="clear" w:color="auto" w:fill="FFFFFF"/>
        </w:rPr>
        <w:t>使用聚焦的高能量密度激光脉冲照射水样中的待测物质，激发其发出荧光光子</w:t>
      </w:r>
      <w:r>
        <w:rPr>
          <w:rFonts w:hint="eastAsia"/>
          <w:color w:val="000000" w:themeColor="text1"/>
          <w:szCs w:val="21"/>
          <w14:textFill>
            <w14:solidFill>
              <w14:schemeClr w14:val="tx1"/>
            </w14:solidFill>
          </w14:textFill>
        </w:rPr>
        <w:t>，</w:t>
      </w:r>
      <w:r>
        <w:rPr>
          <w:rFonts w:ascii="Helvetica" w:hAnsi="Helvetica" w:eastAsia="Helvetica" w:cs="Helvetica"/>
          <w:color w:val="060607"/>
          <w:spacing w:val="4"/>
          <w:szCs w:val="21"/>
          <w:shd w:val="clear" w:color="auto" w:fill="FFFFFF"/>
        </w:rPr>
        <w:t>使用光谱仪或光电探测器捕捉荧光信号，并将其转换为电信号进行分析</w:t>
      </w:r>
      <w:r>
        <w:rPr>
          <w:rFonts w:hint="eastAsia"/>
          <w:color w:val="000000" w:themeColor="text1"/>
          <w:szCs w:val="21"/>
          <w14:textFill>
            <w14:solidFill>
              <w14:schemeClr w14:val="tx1"/>
            </w14:solidFill>
          </w14:textFill>
        </w:rPr>
        <w:t>。</w:t>
      </w:r>
      <w:r>
        <w:rPr>
          <w:rFonts w:ascii="Helvetica" w:hAnsi="Helvetica" w:eastAsia="Helvetica" w:cs="Helvetica"/>
          <w:color w:val="060607"/>
          <w:spacing w:val="4"/>
          <w:szCs w:val="21"/>
          <w:shd w:val="clear" w:color="auto" w:fill="FFFFFF"/>
        </w:rPr>
        <w:t>对检测到的</w:t>
      </w:r>
      <w:r>
        <w:rPr>
          <w:rFonts w:ascii="宋体" w:hAnsi="宋体" w:cs="宋体"/>
          <w:color w:val="060607"/>
          <w:spacing w:val="4"/>
          <w:szCs w:val="21"/>
          <w:shd w:val="clear" w:color="auto" w:fill="FFFFFF"/>
        </w:rPr>
        <w:t>荧光光谱</w:t>
      </w:r>
      <w:r>
        <w:rPr>
          <w:rFonts w:ascii="Helvetica" w:hAnsi="Helvetica" w:eastAsia="Helvetica" w:cs="Helvetica"/>
          <w:color w:val="060607"/>
          <w:spacing w:val="4"/>
          <w:szCs w:val="21"/>
          <w:shd w:val="clear" w:color="auto" w:fill="FFFFFF"/>
        </w:rPr>
        <w:t>进行分析，确定荧光发射的波长和强度，以识别水样中的重金属离子或有机污染物</w:t>
      </w:r>
      <w:r>
        <w:rPr>
          <w:rFonts w:hint="eastAsia"/>
          <w:color w:val="000000" w:themeColor="text1"/>
          <w:szCs w:val="21"/>
          <w14:textFill>
            <w14:solidFill>
              <w14:schemeClr w14:val="tx1"/>
            </w14:solidFill>
          </w14:textFill>
        </w:rPr>
        <w:t>。</w:t>
      </w:r>
    </w:p>
    <w:p w14:paraId="7841AC73">
      <w:pPr>
        <w:pStyle w:val="22"/>
        <w:numPr>
          <w:ilvl w:val="2"/>
          <w:numId w:val="1"/>
        </w:numPr>
        <w:spacing w:before="312" w:beforeLines="100" w:after="312" w:afterLines="100"/>
        <w:ind w:left="709" w:leftChars="0" w:hanging="709" w:firstLineChars="0"/>
        <w:outlineLvl w:val="2"/>
        <w:rPr>
          <w:rFonts w:hint="eastAsia" w:ascii="黑体" w:hAnsi="黑体" w:eastAsia="黑体"/>
          <w:color w:val="000000" w:themeColor="text1"/>
          <w14:textFill>
            <w14:solidFill>
              <w14:schemeClr w14:val="tx1"/>
            </w14:solidFill>
          </w14:textFill>
        </w:rPr>
      </w:pPr>
      <w:bookmarkStart w:id="82" w:name="OLE_LINK1"/>
      <w:bookmarkStart w:id="83" w:name="_Toc213734864"/>
      <w:r>
        <w:rPr>
          <w:rFonts w:hint="eastAsia" w:ascii="黑体" w:hAnsi="黑体" w:eastAsia="黑体"/>
          <w:color w:val="000000" w:themeColor="text1"/>
          <w14:textFill>
            <w14:solidFill>
              <w14:schemeClr w14:val="tx1"/>
            </w14:solidFill>
          </w14:textFill>
        </w:rPr>
        <w:t>水力剖面探测</w:t>
      </w:r>
      <w:bookmarkEnd w:id="82"/>
      <w:r>
        <w:rPr>
          <w:rFonts w:hint="eastAsia" w:ascii="黑体" w:hAnsi="黑体" w:eastAsia="黑体"/>
          <w:color w:val="000000" w:themeColor="text1"/>
          <w14:textFill>
            <w14:solidFill>
              <w14:schemeClr w14:val="tx1"/>
            </w14:solidFill>
          </w14:textFill>
        </w:rPr>
        <w:t>（HPT）</w:t>
      </w:r>
      <w:bookmarkEnd w:id="83"/>
    </w:p>
    <w:p w14:paraId="0A819D89">
      <w:pPr>
        <w:spacing w:after="156" w:afterLines="50" w:line="360" w:lineRule="auto"/>
        <w:ind w:firstLine="436" w:firstLineChars="200"/>
        <w:rPr>
          <w:rFonts w:hint="eastAsia" w:ascii="Helvetica" w:hAnsi="Helvetica" w:eastAsia="Helvetica" w:cs="Helvetica"/>
          <w:color w:val="060607"/>
          <w:spacing w:val="4"/>
          <w:szCs w:val="21"/>
          <w:shd w:val="clear" w:color="auto" w:fill="FFFFFF"/>
        </w:rPr>
      </w:pPr>
      <w:r>
        <w:rPr>
          <w:rFonts w:hint="eastAsia" w:ascii="Helvetica" w:hAnsi="Helvetica" w:eastAsia="Helvetica" w:cs="Helvetica"/>
          <w:color w:val="060607"/>
          <w:spacing w:val="4"/>
          <w:szCs w:val="21"/>
          <w:shd w:val="clear" w:color="auto" w:fill="FFFFFF"/>
        </w:rPr>
        <w:t>将</w:t>
      </w:r>
      <w:r>
        <w:rPr>
          <w:rFonts w:hint="default" w:ascii="Times New Roman" w:hAnsi="Times New Roman" w:eastAsia="Helvetica" w:cs="Times New Roman"/>
          <w:color w:val="060607"/>
          <w:spacing w:val="4"/>
          <w:szCs w:val="21"/>
          <w:shd w:val="clear" w:color="auto" w:fill="FFFFFF"/>
        </w:rPr>
        <w:t>HPT</w:t>
      </w:r>
      <w:r>
        <w:rPr>
          <w:rFonts w:hint="eastAsia" w:ascii="Helvetica" w:hAnsi="Helvetica" w:eastAsia="Helvetica" w:cs="Helvetica"/>
          <w:color w:val="060607"/>
          <w:spacing w:val="4"/>
          <w:szCs w:val="21"/>
          <w:shd w:val="clear" w:color="auto" w:fill="FFFFFF"/>
        </w:rPr>
        <w:t>探测棒装配至驱动装置上，确保平稳、垂直贯入地下。通过机械或液压方式将探测棒推入地层，监控并记录贯入阻力。随着探测棒深入，监测并记录注入水压和电导率变化，反映土壤的水力传导特性。</w:t>
      </w:r>
    </w:p>
    <w:p w14:paraId="298537A9">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84" w:name="_Toc213734865"/>
      <w:r>
        <w:rPr>
          <w:rFonts w:hint="eastAsia" w:ascii="黑体" w:hAnsi="黑体" w:eastAsia="黑体"/>
          <w:color w:val="000000" w:themeColor="text1"/>
          <w14:textFill>
            <w14:solidFill>
              <w14:schemeClr w14:val="tx1"/>
            </w14:solidFill>
          </w14:textFill>
        </w:rPr>
        <w:t>钻具回拔</w:t>
      </w:r>
      <w:bookmarkEnd w:id="81"/>
      <w:bookmarkEnd w:id="84"/>
    </w:p>
    <w:p w14:paraId="76B50C48">
      <w:pPr>
        <w:spacing w:after="156" w:afterLines="50" w:line="360" w:lineRule="auto"/>
        <w:ind w:firstLine="436" w:firstLineChars="200"/>
        <w:rPr>
          <w:rFonts w:hint="eastAsia" w:ascii="宋体" w:hAnsi="宋体" w:cs="宋体"/>
          <w:color w:val="060607"/>
          <w:spacing w:val="4"/>
          <w:szCs w:val="21"/>
          <w:shd w:val="clear" w:color="auto" w:fill="FFFFFF"/>
        </w:rPr>
      </w:pPr>
      <w:r>
        <w:rPr>
          <w:rFonts w:hint="eastAsia" w:ascii="宋体" w:hAnsi="宋体" w:cs="宋体"/>
          <w:color w:val="060607"/>
          <w:spacing w:val="4"/>
          <w:szCs w:val="21"/>
          <w:shd w:val="clear" w:color="auto" w:fill="FFFFFF"/>
        </w:rPr>
        <w:t>探测作业完成后，应将钻杆、钻头等从地下井中回</w:t>
      </w:r>
      <w:r>
        <w:rPr>
          <w:rFonts w:hint="eastAsia" w:ascii="宋体" w:hAnsi="宋体" w:cs="宋体"/>
          <w:color w:val="060607"/>
          <w:spacing w:val="4"/>
          <w:szCs w:val="21"/>
          <w:shd w:val="clear" w:color="auto" w:fill="FFFFFF"/>
          <w:lang w:eastAsia="zh-CN"/>
        </w:rPr>
        <w:t>拨至</w:t>
      </w:r>
      <w:r>
        <w:rPr>
          <w:rFonts w:hint="eastAsia" w:ascii="宋体" w:hAnsi="宋体" w:cs="宋体"/>
          <w:color w:val="060607"/>
          <w:spacing w:val="4"/>
          <w:szCs w:val="21"/>
          <w:shd w:val="clear" w:color="auto" w:fill="FFFFFF"/>
        </w:rPr>
        <w:t>地面，可使用钻机液压缸配合回拔帽或单独使用液压回拔器设备进行回拔。当采用液压回拔器进行回拔时，将液压回拔器布置在点位，放置上下卡瓦，通过卡瓦的斜度锥块锁紧钻杆，液压缸通过强推力将钻杆拔出，回拔及拆卸钻杆时应注意卡瓦的锁紧程度，防止钻杆落入井内。</w:t>
      </w:r>
    </w:p>
    <w:p w14:paraId="1AA527B6">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85" w:name="_Toc213734866"/>
      <w:r>
        <w:rPr>
          <w:rFonts w:hint="eastAsia" w:ascii="黑体" w:hAnsi="黑体" w:eastAsia="黑体"/>
          <w:color w:val="000000" w:themeColor="text1"/>
          <w14:textFill>
            <w14:solidFill>
              <w14:schemeClr w14:val="tx1"/>
            </w14:solidFill>
          </w14:textFill>
        </w:rPr>
        <w:t>装备转场</w:t>
      </w:r>
      <w:bookmarkEnd w:id="85"/>
    </w:p>
    <w:p w14:paraId="4CF126D7">
      <w:pPr>
        <w:spacing w:after="156" w:afterLines="50"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钻探点位的多污染随钻探测结束后，可转移至下一个点位继续作业。完成场地所有点位钻探取样与探测作业后，</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将一体化主机桅杆和钢丝绳归位折叠，关闭发动机；用清水对钻杆及钻头</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含拆卸后钻孔</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进行清洗，各用电设备确认归位及无用电需求后，断开电力管线连接，关闭外置发电设备，系统整体装车退场。</w:t>
      </w:r>
    </w:p>
    <w:p w14:paraId="5A6BE902">
      <w:pPr>
        <w:pStyle w:val="22"/>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86" w:name="_Toc213734867"/>
      <w:bookmarkStart w:id="87" w:name="_Toc10258"/>
      <w:bookmarkStart w:id="88" w:name="_Toc179444652"/>
      <w:bookmarkStart w:id="89" w:name="_Toc177564281"/>
      <w:r>
        <w:rPr>
          <w:rFonts w:hint="eastAsia" w:ascii="黑体" w:hAnsi="黑体" w:eastAsia="黑体"/>
          <w:color w:val="000000" w:themeColor="text1"/>
          <w14:textFill>
            <w14:solidFill>
              <w14:schemeClr w14:val="tx1"/>
            </w14:solidFill>
          </w14:textFill>
        </w:rPr>
        <w:t>质量保证及质量控制</w:t>
      </w:r>
      <w:bookmarkEnd w:id="86"/>
      <w:bookmarkEnd w:id="87"/>
      <w:bookmarkEnd w:id="88"/>
    </w:p>
    <w:p w14:paraId="78D6E8EF">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90" w:name="_Toc213734868"/>
      <w:r>
        <w:rPr>
          <w:rFonts w:ascii="黑体" w:hAnsi="黑体" w:eastAsia="黑体"/>
          <w:color w:val="000000" w:themeColor="text1"/>
          <w14:textFill>
            <w14:solidFill>
              <w14:schemeClr w14:val="tx1"/>
            </w14:solidFill>
          </w14:textFill>
        </w:rPr>
        <w:t>人员资质</w:t>
      </w:r>
      <w:bookmarkEnd w:id="90"/>
    </w:p>
    <w:p w14:paraId="67B318A6">
      <w:pPr>
        <w:spacing w:after="156" w:afterLines="50" w:line="360" w:lineRule="auto"/>
        <w:ind w:firstLine="420" w:firstLineChars="200"/>
        <w:rPr>
          <w:rFonts w:hint="eastAsia" w:ascii="黑体" w:hAnsi="黑体" w:eastAsia="黑体"/>
          <w:color w:val="000000" w:themeColor="text1"/>
          <w:kern w:val="21"/>
          <w:szCs w:val="20"/>
          <w14:textFill>
            <w14:solidFill>
              <w14:schemeClr w14:val="tx1"/>
            </w14:solidFill>
          </w14:textFill>
        </w:rPr>
      </w:pPr>
      <w:r>
        <w:rPr>
          <w:rFonts w:hint="eastAsia"/>
        </w:rPr>
        <w:t>操作</w:t>
      </w:r>
      <w:r>
        <w:t>人员应具有环境、</w:t>
      </w:r>
      <w:r>
        <w:rPr>
          <w:rFonts w:hint="eastAsia"/>
          <w:color w:val="000000" w:themeColor="text1"/>
          <w:szCs w:val="21"/>
          <w14:textFill>
            <w14:solidFill>
              <w14:schemeClr w14:val="tx1"/>
            </w14:solidFill>
          </w14:textFill>
        </w:rPr>
        <w:t>场地</w:t>
      </w:r>
      <w:r>
        <w:rPr>
          <w:rFonts w:hint="eastAsia"/>
        </w:rPr>
        <w:t>监测</w:t>
      </w:r>
      <w:r>
        <w:t>等相关专业知识，熟悉采样和现场监测流程，掌握土壤采样、 现场监测、样品保存与流转的技术要求和相关设备的操作方法。</w:t>
      </w:r>
    </w:p>
    <w:p w14:paraId="5CC59403">
      <w:pPr>
        <w:pStyle w:val="22"/>
        <w:numPr>
          <w:ilvl w:val="1"/>
          <w:numId w:val="1"/>
        </w:numPr>
        <w:spacing w:before="312" w:beforeLines="100" w:after="312" w:afterLines="100"/>
        <w:ind w:left="567" w:leftChars="0" w:hanging="567" w:firstLineChars="0"/>
        <w:outlineLvl w:val="1"/>
        <w:rPr>
          <w:rFonts w:ascii="黑体" w:hAnsi="黑体" w:eastAsia="黑体"/>
          <w:color w:val="000000" w:themeColor="text1"/>
          <w14:textFill>
            <w14:solidFill>
              <w14:schemeClr w14:val="tx1"/>
            </w14:solidFill>
          </w14:textFill>
        </w:rPr>
      </w:pPr>
      <w:bookmarkStart w:id="91" w:name="_Toc213734869"/>
      <w:r>
        <w:rPr>
          <w:rFonts w:hint="eastAsia" w:ascii="黑体" w:hAnsi="黑体" w:eastAsia="黑体"/>
          <w:color w:val="000000" w:themeColor="text1"/>
          <w14:textFill>
            <w14:solidFill>
              <w14:schemeClr w14:val="tx1"/>
            </w14:solidFill>
          </w14:textFill>
        </w:rPr>
        <w:t>设备校准</w:t>
      </w:r>
      <w:bookmarkEnd w:id="91"/>
    </w:p>
    <w:p w14:paraId="22CC0CA9">
      <w:pPr>
        <w:spacing w:after="156" w:afterLines="50" w:line="360" w:lineRule="auto"/>
        <w:ind w:firstLine="420" w:firstLineChars="200"/>
      </w:pPr>
      <w:r>
        <w:rPr>
          <w:rFonts w:hint="eastAsia"/>
          <w:lang w:val="en-US" w:eastAsia="zh-CN"/>
        </w:rPr>
        <w:t>污染</w:t>
      </w:r>
      <w:r>
        <w:rPr>
          <w:rFonts w:hint="eastAsia"/>
        </w:rPr>
        <w:t>探测装备</w:t>
      </w:r>
      <w:r>
        <w:t>应进行</w:t>
      </w:r>
      <w:r>
        <w:rPr>
          <w:rFonts w:hint="eastAsia"/>
        </w:rPr>
        <w:t>定期</w:t>
      </w:r>
      <w:r>
        <w:t>检定或校准，</w:t>
      </w:r>
      <w:r>
        <w:rPr>
          <w:rFonts w:hint="eastAsia"/>
        </w:rPr>
        <w:t>在其有效期</w:t>
      </w:r>
      <w:r>
        <w:t>内使用。定期使用标准物质对检测设备进行核查，检查其性能及状态。</w:t>
      </w:r>
    </w:p>
    <w:p w14:paraId="090E7382">
      <w:pPr>
        <w:pStyle w:val="22"/>
        <w:numPr>
          <w:ilvl w:val="1"/>
          <w:numId w:val="1"/>
        </w:numPr>
        <w:spacing w:before="312" w:beforeLines="100" w:after="312" w:afterLines="100"/>
        <w:ind w:left="567" w:leftChars="0" w:hanging="567" w:firstLineChars="0"/>
        <w:outlineLvl w:val="1"/>
        <w:rPr>
          <w:rFonts w:ascii="黑体" w:hAnsi="黑体" w:eastAsia="黑体"/>
          <w:color w:val="000000" w:themeColor="text1"/>
          <w14:textFill>
            <w14:solidFill>
              <w14:schemeClr w14:val="tx1"/>
            </w14:solidFill>
          </w14:textFill>
        </w:rPr>
      </w:pPr>
      <w:bookmarkStart w:id="92" w:name="_Toc213734870"/>
      <w:r>
        <w:rPr>
          <w:rFonts w:hint="eastAsia" w:ascii="黑体" w:hAnsi="黑体" w:eastAsia="黑体"/>
          <w:color w:val="000000" w:themeColor="text1"/>
          <w14:textFill>
            <w14:solidFill>
              <w14:schemeClr w14:val="tx1"/>
            </w14:solidFill>
          </w14:textFill>
        </w:rPr>
        <w:t>数据验证</w:t>
      </w:r>
      <w:bookmarkEnd w:id="92"/>
    </w:p>
    <w:p w14:paraId="0A71F9FA">
      <w:pPr>
        <w:spacing w:after="156" w:afterLines="50" w:line="360" w:lineRule="auto"/>
        <w:ind w:firstLine="420" w:firstLineChars="200"/>
      </w:pPr>
      <w:r>
        <w:rPr>
          <w:rFonts w:hint="eastAsia"/>
        </w:rPr>
        <w:t>现场快速</w:t>
      </w:r>
      <w:r>
        <w:rPr>
          <w:rFonts w:hint="eastAsia"/>
          <w:lang w:eastAsia="zh-CN"/>
        </w:rPr>
        <w:t>检测样品</w:t>
      </w:r>
      <w:r>
        <w:rPr>
          <w:rFonts w:hint="eastAsia"/>
        </w:rPr>
        <w:t>应留样，必要时采用实验室仪器进行复核。</w:t>
      </w:r>
    </w:p>
    <w:p w14:paraId="518FA4B1">
      <w:pPr>
        <w:pStyle w:val="22"/>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93" w:name="_Toc27695"/>
      <w:bookmarkStart w:id="94" w:name="_Toc213734871"/>
      <w:bookmarkStart w:id="95" w:name="_Toc179444653"/>
      <w:r>
        <w:rPr>
          <w:rFonts w:hint="eastAsia" w:ascii="黑体" w:hAnsi="黑体" w:eastAsia="黑体"/>
          <w:color w:val="000000" w:themeColor="text1"/>
          <w14:textFill>
            <w14:solidFill>
              <w14:schemeClr w14:val="tx1"/>
            </w14:solidFill>
          </w14:textFill>
        </w:rPr>
        <w:t>二次污染防治</w:t>
      </w:r>
      <w:bookmarkEnd w:id="89"/>
      <w:bookmarkEnd w:id="93"/>
      <w:bookmarkEnd w:id="94"/>
      <w:bookmarkEnd w:id="95"/>
    </w:p>
    <w:p w14:paraId="0EADEEF9">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96" w:name="_Toc213734872"/>
      <w:r>
        <w:rPr>
          <w:rFonts w:ascii="黑体" w:hAnsi="黑体" w:eastAsia="黑体"/>
          <w:color w:val="000000" w:themeColor="text1"/>
          <w14:textFill>
            <w14:solidFill>
              <w14:schemeClr w14:val="tx1"/>
            </w14:solidFill>
          </w14:textFill>
        </w:rPr>
        <w:t>废弃物分类收集</w:t>
      </w:r>
      <w:bookmarkEnd w:id="96"/>
    </w:p>
    <w:p w14:paraId="41B583AC">
      <w:pPr>
        <w:spacing w:after="156" w:afterLines="50" w:line="360" w:lineRule="auto"/>
        <w:ind w:firstLine="420" w:firstLineChars="200"/>
        <w:rPr>
          <w:rStyle w:val="30"/>
        </w:rPr>
      </w:pPr>
      <w:r>
        <w:rPr>
          <w:rFonts w:hint="eastAsia"/>
        </w:rPr>
        <w:t>污染探测装备检测</w:t>
      </w:r>
      <w:r>
        <w:rPr>
          <w:rFonts w:hint="eastAsia"/>
          <w:color w:val="000000" w:themeColor="text1"/>
          <w:szCs w:val="21"/>
          <w14:textFill>
            <w14:solidFill>
              <w14:schemeClr w14:val="tx1"/>
            </w14:solidFill>
          </w14:textFill>
        </w:rPr>
        <w:t>使用</w:t>
      </w:r>
      <w:r>
        <w:rPr>
          <w:rFonts w:hint="eastAsia"/>
        </w:rPr>
        <w:t>过程中产生的废液、</w:t>
      </w:r>
      <w:r>
        <w:rPr>
          <w:rFonts w:hint="eastAsia"/>
          <w:lang w:eastAsia="zh-CN"/>
        </w:rPr>
        <w:t>废气</w:t>
      </w:r>
      <w:r>
        <w:rPr>
          <w:rFonts w:hint="eastAsia"/>
        </w:rPr>
        <w:t>、废旧耗材、检测人员防护用品等应分类收集，现场检测任务结束后带回实验室集中处置，防止污染现场环境。</w:t>
      </w:r>
    </w:p>
    <w:p w14:paraId="6B8946AE">
      <w:pPr>
        <w:pStyle w:val="22"/>
        <w:numPr>
          <w:ilvl w:val="1"/>
          <w:numId w:val="1"/>
        </w:numPr>
        <w:spacing w:before="312" w:beforeLines="100" w:after="312" w:afterLines="100"/>
        <w:ind w:left="567" w:leftChars="0" w:hanging="567" w:firstLineChars="0"/>
        <w:outlineLvl w:val="1"/>
        <w:rPr>
          <w:rFonts w:hint="eastAsia" w:ascii="黑体" w:hAnsi="黑体" w:eastAsia="黑体"/>
          <w:color w:val="000000" w:themeColor="text1"/>
          <w14:textFill>
            <w14:solidFill>
              <w14:schemeClr w14:val="tx1"/>
            </w14:solidFill>
          </w14:textFill>
        </w:rPr>
      </w:pPr>
      <w:bookmarkStart w:id="97" w:name="_Toc213734873"/>
      <w:r>
        <w:rPr>
          <w:rFonts w:ascii="黑体" w:hAnsi="黑体" w:eastAsia="黑体"/>
          <w:color w:val="000000" w:themeColor="text1"/>
          <w14:textFill>
            <w14:solidFill>
              <w14:schemeClr w14:val="tx1"/>
            </w14:solidFill>
          </w14:textFill>
        </w:rPr>
        <w:t>现场清洁</w:t>
      </w:r>
      <w:bookmarkEnd w:id="97"/>
    </w:p>
    <w:p w14:paraId="0C698251">
      <w:pPr>
        <w:spacing w:after="156" w:afterLines="50" w:line="360" w:lineRule="auto"/>
        <w:ind w:firstLine="420" w:firstLineChars="200"/>
      </w:pPr>
      <w:r>
        <w:rPr>
          <w:rFonts w:hint="eastAsia"/>
        </w:rPr>
        <w:t>完成现场监测任务撤收时，应对污染探测装备表层、包装箱等进行彻底的清洁。</w:t>
      </w:r>
    </w:p>
    <w:p w14:paraId="46B90FB4">
      <w:pPr>
        <w:pStyle w:val="22"/>
        <w:numPr>
          <w:ilvl w:val="0"/>
          <w:numId w:val="1"/>
        </w:numPr>
        <w:snapToGrid w:val="0"/>
        <w:spacing w:before="312" w:beforeLines="100" w:after="312" w:afterLines="100"/>
        <w:ind w:left="425" w:leftChars="0" w:hanging="425" w:firstLineChars="0"/>
        <w:outlineLvl w:val="0"/>
        <w:rPr>
          <w:rFonts w:hint="eastAsia" w:ascii="黑体" w:hAnsi="黑体" w:eastAsia="黑体"/>
          <w:color w:val="000000" w:themeColor="text1"/>
          <w14:textFill>
            <w14:solidFill>
              <w14:schemeClr w14:val="tx1"/>
            </w14:solidFill>
          </w14:textFill>
        </w:rPr>
      </w:pPr>
      <w:bookmarkStart w:id="98" w:name="_Toc27645"/>
      <w:bookmarkStart w:id="99" w:name="_Toc177564284"/>
      <w:bookmarkStart w:id="100" w:name="_Toc213734874"/>
      <w:bookmarkStart w:id="101" w:name="_Toc175688544"/>
      <w:bookmarkStart w:id="102" w:name="_Toc179444654"/>
      <w:r>
        <w:rPr>
          <w:rFonts w:hint="eastAsia" w:ascii="黑体" w:hAnsi="黑体" w:eastAsia="黑体"/>
          <w:color w:val="000000" w:themeColor="text1"/>
          <w14:textFill>
            <w14:solidFill>
              <w14:schemeClr w14:val="tx1"/>
            </w14:solidFill>
          </w14:textFill>
        </w:rPr>
        <w:t>职业卫生与劳动安全</w:t>
      </w:r>
      <w:bookmarkEnd w:id="98"/>
      <w:bookmarkEnd w:id="99"/>
      <w:bookmarkEnd w:id="100"/>
      <w:bookmarkEnd w:id="101"/>
      <w:bookmarkEnd w:id="102"/>
    </w:p>
    <w:p w14:paraId="449C41A9">
      <w:pPr>
        <w:spacing w:after="156" w:afterLines="50" w:line="360" w:lineRule="auto"/>
        <w:ind w:firstLine="420" w:firstLineChars="200"/>
      </w:pPr>
      <w:r>
        <w:rPr>
          <w:rFonts w:hint="eastAsia"/>
        </w:rPr>
        <w:t>污染探测装备附带的载气、燃气和标准气体，高压气瓶要严格按照设计的体积和规格，在运输和检测过程中对气瓶进行固定，防止跌倒和碰撞发生事故。</w:t>
      </w:r>
    </w:p>
    <w:p w14:paraId="3354FE0C">
      <w:pPr>
        <w:spacing w:after="156" w:afterLines="50" w:line="360" w:lineRule="auto"/>
        <w:ind w:firstLine="420" w:firstLineChars="200"/>
      </w:pPr>
      <w:r>
        <w:rPr>
          <w:rFonts w:hint="eastAsia"/>
        </w:rPr>
        <w:t>现场职业卫生应按 GBZ188-2007、 GBZ 1-2010、 GBZ 2.1-2007 和 GBZ 2.2-2007 的规定执行。</w:t>
      </w:r>
      <w:r>
        <w:t>现场劳动安全用品应按照《劳动防护用品配备标准（试行）》国经贸委安全</w:t>
      </w:r>
      <w:r>
        <w:rPr>
          <w:rFonts w:hint="eastAsia"/>
          <w:lang w:eastAsia="zh-CN"/>
        </w:rPr>
        <w:t>〔2000〕189号</w:t>
      </w:r>
      <w:r>
        <w:t>）执行。</w:t>
      </w:r>
    </w:p>
    <w:bookmarkEnd w:id="12"/>
    <w:p w14:paraId="779A6B4E">
      <w:pPr>
        <w:spacing w:line="360" w:lineRule="auto"/>
        <w:rPr>
          <w:color w:val="000000" w:themeColor="text1"/>
          <w:szCs w:val="21"/>
          <w14:textFill>
            <w14:solidFill>
              <w14:schemeClr w14:val="tx1"/>
            </w14:solidFill>
          </w14:textFill>
        </w:rPr>
      </w:pPr>
    </w:p>
    <w:p w14:paraId="7A1383D9">
      <w:pPr>
        <w:spacing w:line="360" w:lineRule="auto"/>
        <w:rPr>
          <w:color w:val="000000" w:themeColor="text1"/>
          <w:szCs w:val="21"/>
          <w14:textFill>
            <w14:solidFill>
              <w14:schemeClr w14:val="tx1"/>
            </w14:solidFill>
          </w14:textFill>
        </w:rPr>
      </w:pPr>
    </w:p>
    <w:p w14:paraId="59B6070E">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inline distT="0" distB="0" distL="0" distR="0">
                <wp:extent cx="1889760" cy="635"/>
                <wp:effectExtent l="0" t="0" r="0" b="0"/>
                <wp:docPr id="3" name="AutoShape 7"/>
                <wp:cNvGraphicFramePr/>
                <a:graphic xmlns:a="http://schemas.openxmlformats.org/drawingml/2006/main">
                  <a:graphicData uri="http://schemas.microsoft.com/office/word/2010/wordprocessingShape">
                    <wps:wsp>
                      <wps:cNvCnPr>
                        <a:cxnSpLocks noChangeShapeType="1"/>
                      </wps:cNvCnPr>
                      <wps:spPr bwMode="auto">
                        <a:xfrm>
                          <a:off x="0" y="0"/>
                          <a:ext cx="1889760" cy="635"/>
                        </a:xfrm>
                        <a:prstGeom prst="straightConnector1">
                          <a:avLst/>
                        </a:prstGeom>
                        <a:noFill/>
                        <a:ln w="9525">
                          <a:solidFill>
                            <a:srgbClr val="000000"/>
                          </a:solidFill>
                          <a:round/>
                        </a:ln>
                      </wps:spPr>
                      <wps:bodyPr/>
                    </wps:wsp>
                  </a:graphicData>
                </a:graphic>
              </wp:inline>
            </w:drawing>
          </mc:Choice>
          <mc:Fallback>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POlpdIAAAACAQAADwAAAAAAAAABACAAAAAi&#10;AAAAZHJzL2Rvd25yZXYueG1sUEsBAhQAFAAAAAgAh07iQNeaEMbXAQAAtAMAAA4AAAAAAAAAAQAg&#10;AAAAIQEAAGRycy9lMm9Eb2MueG1sUEsFBgAAAAAGAAYAWQEAAGoFAAAAAA==&#10;">
                <v:fill on="f" focussize="0,0"/>
                <v:stroke color="#000000" joinstyle="round"/>
                <v:imagedata o:title=""/>
                <o:lock v:ext="edit" aspectratio="f"/>
                <w10:wrap type="none"/>
                <w10:anchorlock/>
              </v:shape>
            </w:pict>
          </mc:Fallback>
        </mc:AlternateContent>
      </w:r>
    </w:p>
    <w:p w14:paraId="18E65561">
      <w:pPr>
        <w:spacing w:line="360" w:lineRule="auto"/>
        <w:jc w:val="center"/>
        <w:rPr>
          <w:color w:val="000000" w:themeColor="text1"/>
          <w:szCs w:val="21"/>
          <w14:textFill>
            <w14:solidFill>
              <w14:schemeClr w14:val="tx1"/>
            </w14:solidFill>
          </w14:textFill>
        </w:rPr>
      </w:pPr>
    </w:p>
    <w:sectPr>
      <w:footerReference r:id="rId8" w:type="default"/>
      <w:footerReference r:id="rId9" w:type="even"/>
      <w:pgSz w:w="11906" w:h="16838"/>
      <w:pgMar w:top="1417" w:right="1134" w:bottom="1134" w:left="1417" w:header="1020" w:footer="85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6AA7A">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4450" cy="153035"/>
              <wp:effectExtent l="4445" t="0" r="0" b="1270"/>
              <wp:wrapNone/>
              <wp:docPr id="1463755096"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wps:spPr>
                    <wps:txbx>
                      <w:txbxContent>
                        <w:p w14:paraId="0C47EA9F">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3.5pt;mso-position-horizontal:right;mso-position-horizontal-relative:margin;mso-wrap-style:none;z-index:251660288;mso-width-relative:page;mso-height-relative:page;" filled="f" stroked="f" coordsize="21600,21600" o:gfxdata="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pZz8dAAAAACAQAADwAAAAAAAAABACAAAAAiAAAAZHJzL2Rvd25yZXYueG1s&#10;UEsBAhQAFAAAAAgAh07iQOiS2B0AAgAACQQAAA4AAAAAAAAAAQAgAAAAHwEAAGRycy9lMm9Eb2Mu&#10;eG1sUEsFBgAAAAAGAAYAWQEAAJEFAAAAAA==&#10;">
              <v:fill on="f" focussize="0,0"/>
              <v:stroke on="f"/>
              <v:imagedata o:title=""/>
              <o:lock v:ext="edit" aspectratio="f"/>
              <v:textbox inset="0mm,0mm,0mm,0mm" style="mso-fit-shape-to-text:t;">
                <w:txbxContent>
                  <w:p w14:paraId="0C47EA9F">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2D911">
    <w:pPr>
      <w:pStyle w:val="11"/>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76200" cy="131445"/>
              <wp:effectExtent l="1270" t="635" r="0" b="1270"/>
              <wp:wrapNone/>
              <wp:docPr id="817802500"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35E2B7BB">
                          <w:pPr>
                            <w:pStyle w:val="11"/>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0.35pt;width:6pt;mso-position-horizontal:right;mso-position-horizontal-relative:margin;mso-wrap-style:none;z-index:251662336;mso-width-relative:page;mso-height-relative:page;" filled="f" stroked="f" coordsize="21600,21600" o:gfxdata="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DsNinPAAAAAwEAAA8AAAAAAAAAAQAgAAAAIgAAAGRycy9kb3ducmV2LnhtbFBL&#10;AQIUABQAAAAIAIdO4kDv/3Q+/wEAAAkEAAAOAAAAAAAAAAEAIAAAAB4BAABkcnMvZTJvRG9jLnht&#10;bFBLBQYAAAAABgAGAFkBAACPBQAAAAA=&#10;">
              <v:fill on="f" focussize="0,0"/>
              <v:stroke on="f"/>
              <v:imagedata o:title=""/>
              <o:lock v:ext="edit" aspectratio="f"/>
              <v:textbox inset="0mm,0mm,0mm,0mm" style="mso-fit-shape-to-text:t;">
                <w:txbxContent>
                  <w:p w14:paraId="35E2B7BB">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2763">
    <w:pPr>
      <w:tabs>
        <w:tab w:val="right" w:pos="9355"/>
      </w:tabs>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67310" cy="153035"/>
              <wp:effectExtent l="635" t="0" r="0" b="1270"/>
              <wp:wrapNone/>
              <wp:docPr id="1243680950" name="Text Box 9"/>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3FD616A9">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2.05pt;width:5.3pt;mso-position-horizontal:right;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rNUXQAAAAAwEAAA8AAAAAAAAAAQAgAAAAIgAAAGRycy9kb3ducmV2Lnht&#10;bFBLAQIUABQAAAAIAIdO4kDSjp24AQIAAAkEAAAOAAAAAAAAAAEAIAAAAB8BAABkcnMvZTJvRG9j&#10;LnhtbFBLBQYAAAAABgAGAFkBAACSBQAAAAA=&#10;">
              <v:fill on="f" focussize="0,0"/>
              <v:stroke on="f"/>
              <v:imagedata o:title=""/>
              <o:lock v:ext="edit" aspectratio="f"/>
              <v:textbox inset="0mm,0mm,0mm,0mm" style="mso-fit-shape-to-text:t;">
                <w:txbxContent>
                  <w:p w14:paraId="3FD616A9">
                    <w:r>
                      <w:fldChar w:fldCharType="begin"/>
                    </w:r>
                    <w:r>
                      <w:instrText xml:space="preserve"> PAGE  \* MERGEFORMAT </w:instrText>
                    </w:r>
                    <w:r>
                      <w:fldChar w:fldCharType="separate"/>
                    </w:r>
                    <w:r>
                      <w:t>I</w:t>
                    </w:r>
                    <w:r>
                      <w:fldChar w:fldCharType="end"/>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6B36">
    <w:pPr>
      <w:pStyle w:val="11"/>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0143C">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B0143C">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4494">
    <w:p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C263">
    <w:pPr>
      <w:jc w:val="right"/>
    </w:pPr>
    <w:r>
      <w:rPr>
        <w:rFonts w:hint="eastAsia"/>
      </w:rPr>
      <w:t>T/</w:t>
    </w:r>
    <w:r>
      <w:t>ACEF **-202*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DB2A3">
    <w:pPr>
      <w:jc w:val="right"/>
    </w:pPr>
    <w:r>
      <w:t xml:space="preserve">T/ACEF </w:t>
    </w:r>
    <w:r>
      <w:rPr>
        <w:rFonts w:hint="eastAsia"/>
      </w:rPr>
      <w:t>×××</w:t>
    </w:r>
    <w:r>
      <w:t>—20</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8621C"/>
    <w:multiLevelType w:val="multilevel"/>
    <w:tmpl w:val="01F8621C"/>
    <w:lvl w:ilvl="0" w:tentative="0">
      <w:start w:val="1"/>
      <w:numFmt w:val="decimal"/>
      <w:lvlText w:val="%1"/>
      <w:lvlJc w:val="left"/>
      <w:pPr>
        <w:ind w:left="425" w:hanging="425"/>
      </w:pPr>
      <w:rPr>
        <w:rFonts w:hint="default"/>
        <w:sz w:val="21"/>
        <w:szCs w:val="21"/>
      </w:rPr>
    </w:lvl>
    <w:lvl w:ilvl="1" w:tentative="0">
      <w:start w:val="1"/>
      <w:numFmt w:val="decimal"/>
      <w:lvlText w:val="%1.%2"/>
      <w:lvlJc w:val="left"/>
      <w:pPr>
        <w:ind w:left="567" w:hanging="567"/>
      </w:pPr>
      <w:rPr>
        <w:rFonts w:hint="default"/>
        <w:sz w:val="21"/>
        <w:szCs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evenAndOddHeaders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0ZGQ3ZjA0ZDJjYWE1NzkzMWIxZDYxNGVhZTQ2NGUifQ=="/>
  </w:docVars>
  <w:rsids>
    <w:rsidRoot w:val="00DC36DB"/>
    <w:rsid w:val="00011D4D"/>
    <w:rsid w:val="0005494D"/>
    <w:rsid w:val="00066EBD"/>
    <w:rsid w:val="00074B7E"/>
    <w:rsid w:val="00083ED3"/>
    <w:rsid w:val="00093EE0"/>
    <w:rsid w:val="000C29F5"/>
    <w:rsid w:val="000C5AB8"/>
    <w:rsid w:val="000D1BB9"/>
    <w:rsid w:val="000D6EB8"/>
    <w:rsid w:val="000E2A1D"/>
    <w:rsid w:val="000E3A7A"/>
    <w:rsid w:val="000E7A10"/>
    <w:rsid w:val="000F09C2"/>
    <w:rsid w:val="001109FB"/>
    <w:rsid w:val="001113BD"/>
    <w:rsid w:val="001234B4"/>
    <w:rsid w:val="00147B1B"/>
    <w:rsid w:val="00156643"/>
    <w:rsid w:val="00170313"/>
    <w:rsid w:val="001859C1"/>
    <w:rsid w:val="001E6094"/>
    <w:rsid w:val="001E7686"/>
    <w:rsid w:val="00241D67"/>
    <w:rsid w:val="002421AB"/>
    <w:rsid w:val="002471F9"/>
    <w:rsid w:val="00252140"/>
    <w:rsid w:val="002719A6"/>
    <w:rsid w:val="00290E03"/>
    <w:rsid w:val="002D3DF5"/>
    <w:rsid w:val="002F330B"/>
    <w:rsid w:val="003C776B"/>
    <w:rsid w:val="003E4F8B"/>
    <w:rsid w:val="003F0502"/>
    <w:rsid w:val="003F6413"/>
    <w:rsid w:val="00422DBC"/>
    <w:rsid w:val="00433505"/>
    <w:rsid w:val="00451CEC"/>
    <w:rsid w:val="00452BA3"/>
    <w:rsid w:val="00456804"/>
    <w:rsid w:val="004A3079"/>
    <w:rsid w:val="004C025A"/>
    <w:rsid w:val="004E7E39"/>
    <w:rsid w:val="00532921"/>
    <w:rsid w:val="00554810"/>
    <w:rsid w:val="005A0A59"/>
    <w:rsid w:val="005C2E5D"/>
    <w:rsid w:val="005C4F14"/>
    <w:rsid w:val="005D6B60"/>
    <w:rsid w:val="005E2A89"/>
    <w:rsid w:val="00602833"/>
    <w:rsid w:val="0061573C"/>
    <w:rsid w:val="00634732"/>
    <w:rsid w:val="00654B51"/>
    <w:rsid w:val="00684703"/>
    <w:rsid w:val="006946B7"/>
    <w:rsid w:val="00697524"/>
    <w:rsid w:val="00721305"/>
    <w:rsid w:val="007231F9"/>
    <w:rsid w:val="007A2A22"/>
    <w:rsid w:val="007C1AC3"/>
    <w:rsid w:val="007D2ED5"/>
    <w:rsid w:val="007E54D4"/>
    <w:rsid w:val="00833C97"/>
    <w:rsid w:val="0083794F"/>
    <w:rsid w:val="008701E3"/>
    <w:rsid w:val="008765A0"/>
    <w:rsid w:val="008B21F1"/>
    <w:rsid w:val="008C4CAE"/>
    <w:rsid w:val="008D42AC"/>
    <w:rsid w:val="009512F1"/>
    <w:rsid w:val="00970345"/>
    <w:rsid w:val="009A08D0"/>
    <w:rsid w:val="009C2360"/>
    <w:rsid w:val="009E5B73"/>
    <w:rsid w:val="00A525E7"/>
    <w:rsid w:val="00A624B5"/>
    <w:rsid w:val="00A6382B"/>
    <w:rsid w:val="00A6777D"/>
    <w:rsid w:val="00A83CE9"/>
    <w:rsid w:val="00A94E83"/>
    <w:rsid w:val="00AE0E36"/>
    <w:rsid w:val="00AE190E"/>
    <w:rsid w:val="00AF06D4"/>
    <w:rsid w:val="00AF3ACD"/>
    <w:rsid w:val="00B0207E"/>
    <w:rsid w:val="00B072B6"/>
    <w:rsid w:val="00B41B4C"/>
    <w:rsid w:val="00B500B0"/>
    <w:rsid w:val="00B8731C"/>
    <w:rsid w:val="00BA018A"/>
    <w:rsid w:val="00BB6775"/>
    <w:rsid w:val="00BD1304"/>
    <w:rsid w:val="00BD1EE8"/>
    <w:rsid w:val="00C22122"/>
    <w:rsid w:val="00C33FB7"/>
    <w:rsid w:val="00CB36C3"/>
    <w:rsid w:val="00CD1EA3"/>
    <w:rsid w:val="00CE1A45"/>
    <w:rsid w:val="00D30471"/>
    <w:rsid w:val="00D34EC9"/>
    <w:rsid w:val="00D45834"/>
    <w:rsid w:val="00D53602"/>
    <w:rsid w:val="00D5688F"/>
    <w:rsid w:val="00D80038"/>
    <w:rsid w:val="00DB79B5"/>
    <w:rsid w:val="00DC36DB"/>
    <w:rsid w:val="00DC7752"/>
    <w:rsid w:val="00DE0F0B"/>
    <w:rsid w:val="00E15F54"/>
    <w:rsid w:val="00E17148"/>
    <w:rsid w:val="00E25B6D"/>
    <w:rsid w:val="00E4088C"/>
    <w:rsid w:val="00E412D7"/>
    <w:rsid w:val="00E4301B"/>
    <w:rsid w:val="00E45076"/>
    <w:rsid w:val="00E6284A"/>
    <w:rsid w:val="00E62C16"/>
    <w:rsid w:val="00EA5286"/>
    <w:rsid w:val="00ED1FD1"/>
    <w:rsid w:val="00EE67B2"/>
    <w:rsid w:val="00F0123F"/>
    <w:rsid w:val="00F046D6"/>
    <w:rsid w:val="00F200F2"/>
    <w:rsid w:val="00F4542C"/>
    <w:rsid w:val="00F471E0"/>
    <w:rsid w:val="00F618B7"/>
    <w:rsid w:val="00F81C9F"/>
    <w:rsid w:val="00FA03A8"/>
    <w:rsid w:val="00FD0915"/>
    <w:rsid w:val="00FE145C"/>
    <w:rsid w:val="00FF6BAB"/>
    <w:rsid w:val="013B4944"/>
    <w:rsid w:val="021F7DC1"/>
    <w:rsid w:val="0270061D"/>
    <w:rsid w:val="02932CE3"/>
    <w:rsid w:val="02C85CF8"/>
    <w:rsid w:val="02E53D83"/>
    <w:rsid w:val="036208AE"/>
    <w:rsid w:val="03DE35EF"/>
    <w:rsid w:val="045A77D7"/>
    <w:rsid w:val="045E55E2"/>
    <w:rsid w:val="04763EE5"/>
    <w:rsid w:val="056061E5"/>
    <w:rsid w:val="05FD666C"/>
    <w:rsid w:val="067601CC"/>
    <w:rsid w:val="06FD269B"/>
    <w:rsid w:val="07B0770E"/>
    <w:rsid w:val="07DB0B3C"/>
    <w:rsid w:val="07FF7B2E"/>
    <w:rsid w:val="08031F33"/>
    <w:rsid w:val="0837350B"/>
    <w:rsid w:val="08892439"/>
    <w:rsid w:val="09F064E7"/>
    <w:rsid w:val="0A40121D"/>
    <w:rsid w:val="0B0C1184"/>
    <w:rsid w:val="0B6823E3"/>
    <w:rsid w:val="0B7A075E"/>
    <w:rsid w:val="0B8D0492"/>
    <w:rsid w:val="0BD53BE7"/>
    <w:rsid w:val="0BFC5617"/>
    <w:rsid w:val="0C20172A"/>
    <w:rsid w:val="0C344DB1"/>
    <w:rsid w:val="0D042269"/>
    <w:rsid w:val="0D7D0092"/>
    <w:rsid w:val="0DA925F8"/>
    <w:rsid w:val="0DD762CB"/>
    <w:rsid w:val="0E883192"/>
    <w:rsid w:val="0EA004DC"/>
    <w:rsid w:val="0EB21FBD"/>
    <w:rsid w:val="0F9022FF"/>
    <w:rsid w:val="10857989"/>
    <w:rsid w:val="12820180"/>
    <w:rsid w:val="12DC2324"/>
    <w:rsid w:val="12F9465F"/>
    <w:rsid w:val="12FC2887"/>
    <w:rsid w:val="13623FB2"/>
    <w:rsid w:val="137E3B6C"/>
    <w:rsid w:val="13F6294C"/>
    <w:rsid w:val="15737CA5"/>
    <w:rsid w:val="15910E64"/>
    <w:rsid w:val="159D39C7"/>
    <w:rsid w:val="15D8055B"/>
    <w:rsid w:val="15DB1EB7"/>
    <w:rsid w:val="164C1344"/>
    <w:rsid w:val="165A3666"/>
    <w:rsid w:val="165D6CB3"/>
    <w:rsid w:val="16B03286"/>
    <w:rsid w:val="16B713C6"/>
    <w:rsid w:val="16D231FD"/>
    <w:rsid w:val="16DA0303"/>
    <w:rsid w:val="171F21BA"/>
    <w:rsid w:val="174A5489"/>
    <w:rsid w:val="1772678E"/>
    <w:rsid w:val="178C784F"/>
    <w:rsid w:val="18893D8F"/>
    <w:rsid w:val="18D25736"/>
    <w:rsid w:val="18E13BCB"/>
    <w:rsid w:val="18E75E5E"/>
    <w:rsid w:val="18EB67F8"/>
    <w:rsid w:val="18F25DD8"/>
    <w:rsid w:val="18F4130C"/>
    <w:rsid w:val="19687E48"/>
    <w:rsid w:val="1979128B"/>
    <w:rsid w:val="19CB4D61"/>
    <w:rsid w:val="1A75281D"/>
    <w:rsid w:val="1AC437A4"/>
    <w:rsid w:val="1AF000F5"/>
    <w:rsid w:val="1BA3160C"/>
    <w:rsid w:val="1BFB1448"/>
    <w:rsid w:val="1C2A7637"/>
    <w:rsid w:val="1C2F46E5"/>
    <w:rsid w:val="1CAC44F0"/>
    <w:rsid w:val="1CFA1291"/>
    <w:rsid w:val="1D7414B2"/>
    <w:rsid w:val="1DD43CFE"/>
    <w:rsid w:val="1DDE0271"/>
    <w:rsid w:val="1DDE692B"/>
    <w:rsid w:val="1E0D0FBE"/>
    <w:rsid w:val="1EE67FE4"/>
    <w:rsid w:val="1EEA12FF"/>
    <w:rsid w:val="1EF67CA4"/>
    <w:rsid w:val="1F3233D2"/>
    <w:rsid w:val="1F6317DE"/>
    <w:rsid w:val="1FCD4EA9"/>
    <w:rsid w:val="1FD224BF"/>
    <w:rsid w:val="20D12B0B"/>
    <w:rsid w:val="21483265"/>
    <w:rsid w:val="21F20BF7"/>
    <w:rsid w:val="21F66939"/>
    <w:rsid w:val="22A55C69"/>
    <w:rsid w:val="22BB548D"/>
    <w:rsid w:val="236C6787"/>
    <w:rsid w:val="23DD1433"/>
    <w:rsid w:val="2479115B"/>
    <w:rsid w:val="253B473C"/>
    <w:rsid w:val="25520519"/>
    <w:rsid w:val="25641E0C"/>
    <w:rsid w:val="257F3FCC"/>
    <w:rsid w:val="259D0E7A"/>
    <w:rsid w:val="25C603D0"/>
    <w:rsid w:val="263317DE"/>
    <w:rsid w:val="2694099E"/>
    <w:rsid w:val="26D1598F"/>
    <w:rsid w:val="26DF1F53"/>
    <w:rsid w:val="26EC0E6B"/>
    <w:rsid w:val="26FB22FC"/>
    <w:rsid w:val="274A5031"/>
    <w:rsid w:val="283F446A"/>
    <w:rsid w:val="28537F15"/>
    <w:rsid w:val="287C121A"/>
    <w:rsid w:val="28E868B0"/>
    <w:rsid w:val="29094D4C"/>
    <w:rsid w:val="29455AB0"/>
    <w:rsid w:val="2973261D"/>
    <w:rsid w:val="29FA0F90"/>
    <w:rsid w:val="2A8820F8"/>
    <w:rsid w:val="2AAA021B"/>
    <w:rsid w:val="2ADE61BC"/>
    <w:rsid w:val="2AF615F4"/>
    <w:rsid w:val="2B183461"/>
    <w:rsid w:val="2B2B15E0"/>
    <w:rsid w:val="2B3866F7"/>
    <w:rsid w:val="2B6761B2"/>
    <w:rsid w:val="2B6D7540"/>
    <w:rsid w:val="2B870602"/>
    <w:rsid w:val="2BAF1907"/>
    <w:rsid w:val="2BB75250"/>
    <w:rsid w:val="2C1D2D14"/>
    <w:rsid w:val="2C1D40D6"/>
    <w:rsid w:val="2C7E2881"/>
    <w:rsid w:val="2CA451E4"/>
    <w:rsid w:val="2CEF46B1"/>
    <w:rsid w:val="2D106705"/>
    <w:rsid w:val="2D3E2F42"/>
    <w:rsid w:val="2D4542D1"/>
    <w:rsid w:val="2DE41D3C"/>
    <w:rsid w:val="2EB37960"/>
    <w:rsid w:val="2F51365C"/>
    <w:rsid w:val="30002C4B"/>
    <w:rsid w:val="302F1268"/>
    <w:rsid w:val="318555E4"/>
    <w:rsid w:val="31B00187"/>
    <w:rsid w:val="31D2634F"/>
    <w:rsid w:val="32384404"/>
    <w:rsid w:val="3253123E"/>
    <w:rsid w:val="326E06BF"/>
    <w:rsid w:val="32D00AE0"/>
    <w:rsid w:val="330C763F"/>
    <w:rsid w:val="33BA52ED"/>
    <w:rsid w:val="33E24C83"/>
    <w:rsid w:val="34367069"/>
    <w:rsid w:val="356E45E1"/>
    <w:rsid w:val="359E4EC6"/>
    <w:rsid w:val="35C91CF6"/>
    <w:rsid w:val="366D6646"/>
    <w:rsid w:val="36A52284"/>
    <w:rsid w:val="377203B8"/>
    <w:rsid w:val="37893954"/>
    <w:rsid w:val="38685317"/>
    <w:rsid w:val="3870241E"/>
    <w:rsid w:val="38DF21BB"/>
    <w:rsid w:val="391E1E7A"/>
    <w:rsid w:val="39447B32"/>
    <w:rsid w:val="394C6378"/>
    <w:rsid w:val="39707FF3"/>
    <w:rsid w:val="39722865"/>
    <w:rsid w:val="39947487"/>
    <w:rsid w:val="39E43211"/>
    <w:rsid w:val="3A23599A"/>
    <w:rsid w:val="3B005CDB"/>
    <w:rsid w:val="3B105F26"/>
    <w:rsid w:val="3B525279"/>
    <w:rsid w:val="3C187054"/>
    <w:rsid w:val="3C3A6FCB"/>
    <w:rsid w:val="3C720E5A"/>
    <w:rsid w:val="3CE83312"/>
    <w:rsid w:val="3CF87894"/>
    <w:rsid w:val="3D205459"/>
    <w:rsid w:val="3D3A1978"/>
    <w:rsid w:val="3D521F62"/>
    <w:rsid w:val="3DCE3E6E"/>
    <w:rsid w:val="3DF17B5D"/>
    <w:rsid w:val="3DFD4754"/>
    <w:rsid w:val="3E7F33BB"/>
    <w:rsid w:val="3F057562"/>
    <w:rsid w:val="3F56160C"/>
    <w:rsid w:val="3F7E3672"/>
    <w:rsid w:val="3FAC01DF"/>
    <w:rsid w:val="401A783F"/>
    <w:rsid w:val="40FC38FF"/>
    <w:rsid w:val="41032081"/>
    <w:rsid w:val="412B106A"/>
    <w:rsid w:val="416B677A"/>
    <w:rsid w:val="41E2613A"/>
    <w:rsid w:val="41EE0F83"/>
    <w:rsid w:val="42122973"/>
    <w:rsid w:val="423233A0"/>
    <w:rsid w:val="42426BD9"/>
    <w:rsid w:val="42725710"/>
    <w:rsid w:val="428C263D"/>
    <w:rsid w:val="42A06614"/>
    <w:rsid w:val="43081BD1"/>
    <w:rsid w:val="430F136C"/>
    <w:rsid w:val="436A4639"/>
    <w:rsid w:val="455F7B5C"/>
    <w:rsid w:val="463A4797"/>
    <w:rsid w:val="465A0995"/>
    <w:rsid w:val="4689127A"/>
    <w:rsid w:val="469D4D26"/>
    <w:rsid w:val="46DD15C6"/>
    <w:rsid w:val="46FE3A16"/>
    <w:rsid w:val="470152B5"/>
    <w:rsid w:val="47226FD9"/>
    <w:rsid w:val="47431429"/>
    <w:rsid w:val="476B0980"/>
    <w:rsid w:val="481B23A6"/>
    <w:rsid w:val="4A03113E"/>
    <w:rsid w:val="4A341659"/>
    <w:rsid w:val="4B517E8D"/>
    <w:rsid w:val="4BA83F51"/>
    <w:rsid w:val="4BD55E03"/>
    <w:rsid w:val="4C710F14"/>
    <w:rsid w:val="4C911CAD"/>
    <w:rsid w:val="4D233F9A"/>
    <w:rsid w:val="4D582022"/>
    <w:rsid w:val="4D7F6F33"/>
    <w:rsid w:val="4DB0533F"/>
    <w:rsid w:val="4DC82688"/>
    <w:rsid w:val="4EBD51C5"/>
    <w:rsid w:val="4EEA1E92"/>
    <w:rsid w:val="4F5D32A4"/>
    <w:rsid w:val="4F840831"/>
    <w:rsid w:val="4F876573"/>
    <w:rsid w:val="4FF77255"/>
    <w:rsid w:val="50770396"/>
    <w:rsid w:val="515209CB"/>
    <w:rsid w:val="518E1FC0"/>
    <w:rsid w:val="51BD44CE"/>
    <w:rsid w:val="51E967F2"/>
    <w:rsid w:val="51FD2B1C"/>
    <w:rsid w:val="5253098E"/>
    <w:rsid w:val="527E5A0B"/>
    <w:rsid w:val="52B16D04"/>
    <w:rsid w:val="531A4EF2"/>
    <w:rsid w:val="53437A58"/>
    <w:rsid w:val="536A41E2"/>
    <w:rsid w:val="53964FD7"/>
    <w:rsid w:val="542425E2"/>
    <w:rsid w:val="545E3D46"/>
    <w:rsid w:val="54E35FFA"/>
    <w:rsid w:val="55B62B02"/>
    <w:rsid w:val="55C53951"/>
    <w:rsid w:val="55CF657E"/>
    <w:rsid w:val="55D02A22"/>
    <w:rsid w:val="560F057B"/>
    <w:rsid w:val="567A4F69"/>
    <w:rsid w:val="56927CD7"/>
    <w:rsid w:val="572648C3"/>
    <w:rsid w:val="57A3000D"/>
    <w:rsid w:val="58093FC9"/>
    <w:rsid w:val="58112E7E"/>
    <w:rsid w:val="591C4EE5"/>
    <w:rsid w:val="59E85E60"/>
    <w:rsid w:val="5A0C5FF2"/>
    <w:rsid w:val="5A6A4AC7"/>
    <w:rsid w:val="5A731BCE"/>
    <w:rsid w:val="5AF96577"/>
    <w:rsid w:val="5B986F08"/>
    <w:rsid w:val="5BD91F04"/>
    <w:rsid w:val="5BF64864"/>
    <w:rsid w:val="5C337866"/>
    <w:rsid w:val="5CF05758"/>
    <w:rsid w:val="5D8B5480"/>
    <w:rsid w:val="5EB97DCB"/>
    <w:rsid w:val="5F657910"/>
    <w:rsid w:val="5FA8108B"/>
    <w:rsid w:val="5FCD7FD2"/>
    <w:rsid w:val="604A1623"/>
    <w:rsid w:val="605129B1"/>
    <w:rsid w:val="60AC5E39"/>
    <w:rsid w:val="60FF065F"/>
    <w:rsid w:val="615F10FE"/>
    <w:rsid w:val="616E1341"/>
    <w:rsid w:val="6189617B"/>
    <w:rsid w:val="61E433B1"/>
    <w:rsid w:val="623E6288"/>
    <w:rsid w:val="62500A46"/>
    <w:rsid w:val="62723F42"/>
    <w:rsid w:val="628F156F"/>
    <w:rsid w:val="637A5D7B"/>
    <w:rsid w:val="63D42956"/>
    <w:rsid w:val="63FA6EBC"/>
    <w:rsid w:val="64281C7B"/>
    <w:rsid w:val="65165369"/>
    <w:rsid w:val="6547504E"/>
    <w:rsid w:val="656A1E1F"/>
    <w:rsid w:val="65A74E21"/>
    <w:rsid w:val="66024307"/>
    <w:rsid w:val="6635242D"/>
    <w:rsid w:val="66DE4873"/>
    <w:rsid w:val="681F061D"/>
    <w:rsid w:val="68633281"/>
    <w:rsid w:val="68DE2F22"/>
    <w:rsid w:val="69EB27D8"/>
    <w:rsid w:val="6A0E2E2A"/>
    <w:rsid w:val="6A3F1ACC"/>
    <w:rsid w:val="6BBE4C73"/>
    <w:rsid w:val="6BF15048"/>
    <w:rsid w:val="6C007039"/>
    <w:rsid w:val="6C8E2897"/>
    <w:rsid w:val="6CDF30F3"/>
    <w:rsid w:val="6D002A36"/>
    <w:rsid w:val="6D800432"/>
    <w:rsid w:val="6DA700B4"/>
    <w:rsid w:val="6DD662A4"/>
    <w:rsid w:val="6E0C6169"/>
    <w:rsid w:val="6E34121C"/>
    <w:rsid w:val="6EDA0016"/>
    <w:rsid w:val="6EE40E94"/>
    <w:rsid w:val="6F9B7998"/>
    <w:rsid w:val="6FFE5F86"/>
    <w:rsid w:val="70140499"/>
    <w:rsid w:val="7019691C"/>
    <w:rsid w:val="70522F16"/>
    <w:rsid w:val="716D5171"/>
    <w:rsid w:val="71D30AFF"/>
    <w:rsid w:val="71F17B50"/>
    <w:rsid w:val="740C4AED"/>
    <w:rsid w:val="74624D35"/>
    <w:rsid w:val="74730CF0"/>
    <w:rsid w:val="747C53AA"/>
    <w:rsid w:val="74C973C0"/>
    <w:rsid w:val="74F112FD"/>
    <w:rsid w:val="74F11C15"/>
    <w:rsid w:val="75045DEC"/>
    <w:rsid w:val="750758DC"/>
    <w:rsid w:val="753F6E24"/>
    <w:rsid w:val="755D72AA"/>
    <w:rsid w:val="755F1275"/>
    <w:rsid w:val="75932CCC"/>
    <w:rsid w:val="75AD3D8E"/>
    <w:rsid w:val="75C15A8B"/>
    <w:rsid w:val="7662726E"/>
    <w:rsid w:val="76EC08E6"/>
    <w:rsid w:val="7746449A"/>
    <w:rsid w:val="779571D0"/>
    <w:rsid w:val="77AD4519"/>
    <w:rsid w:val="785250C1"/>
    <w:rsid w:val="796906C2"/>
    <w:rsid w:val="7A377612"/>
    <w:rsid w:val="7A94551C"/>
    <w:rsid w:val="7AA35350"/>
    <w:rsid w:val="7AA65250"/>
    <w:rsid w:val="7B476A33"/>
    <w:rsid w:val="7B672C31"/>
    <w:rsid w:val="7B7D4202"/>
    <w:rsid w:val="7BFE452F"/>
    <w:rsid w:val="7C023B0D"/>
    <w:rsid w:val="7C29438A"/>
    <w:rsid w:val="7C5807CC"/>
    <w:rsid w:val="7C910E4E"/>
    <w:rsid w:val="7CCD11BA"/>
    <w:rsid w:val="7D3A2273"/>
    <w:rsid w:val="7D7E4262"/>
    <w:rsid w:val="7D87697E"/>
    <w:rsid w:val="7DB06B11"/>
    <w:rsid w:val="7DD32800"/>
    <w:rsid w:val="7E6671D0"/>
    <w:rsid w:val="7F10538E"/>
    <w:rsid w:val="7F3E014D"/>
    <w:rsid w:val="7F840077"/>
    <w:rsid w:val="7FB34FD7"/>
    <w:rsid w:val="7FD242A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100" w:beforeLines="100" w:beforeAutospacing="0" w:after="100" w:afterLines="100" w:afterAutospacing="0" w:line="240" w:lineRule="auto"/>
      <w:jc w:val="left"/>
      <w:outlineLvl w:val="1"/>
    </w:pPr>
    <w:rPr>
      <w:rFonts w:ascii="Arial" w:hAnsi="Arial" w:eastAsia="黑体"/>
      <w:sz w:val="21"/>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3"/>
    <w:unhideWhenUsed/>
    <w:qFormat/>
    <w:uiPriority w:val="99"/>
    <w:pPr>
      <w:widowControl/>
      <w:spacing w:after="160" w:line="259" w:lineRule="auto"/>
      <w:jc w:val="left"/>
    </w:pPr>
    <w:rPr>
      <w:rFonts w:asciiTheme="minorHAnsi" w:hAnsiTheme="minorHAnsi" w:eastAsiaTheme="minorEastAsia" w:cstheme="minorBidi"/>
      <w:sz w:val="22"/>
    </w:rPr>
  </w:style>
  <w:style w:type="paragraph" w:styleId="8">
    <w:name w:val="Body Text"/>
    <w:basedOn w:val="1"/>
    <w:link w:val="24"/>
    <w:unhideWhenUsed/>
    <w:qFormat/>
    <w:uiPriority w:val="99"/>
    <w:pPr>
      <w:widowControl/>
      <w:spacing w:after="120" w:line="259" w:lineRule="auto"/>
      <w:jc w:val="left"/>
    </w:pPr>
    <w:rPr>
      <w:rFonts w:asciiTheme="minorHAnsi" w:hAnsiTheme="minorHAnsi" w:eastAsiaTheme="minorEastAsia" w:cstheme="minorBidi"/>
      <w:sz w:val="22"/>
    </w:rPr>
  </w:style>
  <w:style w:type="paragraph" w:styleId="9">
    <w:name w:val="toc 3"/>
    <w:basedOn w:val="1"/>
    <w:next w:val="1"/>
    <w:autoRedefine/>
    <w:qFormat/>
    <w:uiPriority w:val="39"/>
    <w:pPr>
      <w:ind w:left="840" w:leftChars="400"/>
    </w:pPr>
  </w:style>
  <w:style w:type="paragraph" w:styleId="10">
    <w:name w:val="Date"/>
    <w:basedOn w:val="1"/>
    <w:next w:val="1"/>
    <w:link w:val="31"/>
    <w:qFormat/>
    <w:uiPriority w:val="0"/>
    <w:pPr>
      <w:ind w:left="100" w:leftChars="25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style>
  <w:style w:type="paragraph" w:styleId="14">
    <w:name w:val="toc 2"/>
    <w:basedOn w:val="1"/>
    <w:next w:val="1"/>
    <w:autoRedefine/>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unhideWhenUsed/>
    <w:qFormat/>
    <w:uiPriority w:val="99"/>
    <w:rPr>
      <w:sz w:val="21"/>
      <w:szCs w:val="21"/>
    </w:rPr>
  </w:style>
  <w:style w:type="paragraph" w:styleId="22">
    <w:name w:val="List Paragraph"/>
    <w:basedOn w:val="1"/>
    <w:qFormat/>
    <w:uiPriority w:val="34"/>
    <w:pPr>
      <w:topLinePunct/>
      <w:adjustRightInd w:val="0"/>
      <w:ind w:firstLine="200" w:firstLineChars="200"/>
    </w:pPr>
    <w:rPr>
      <w:kern w:val="21"/>
      <w:szCs w:val="20"/>
    </w:rPr>
  </w:style>
  <w:style w:type="character" w:customStyle="1" w:styleId="23">
    <w:name w:val="批注文字 字符"/>
    <w:basedOn w:val="17"/>
    <w:link w:val="7"/>
    <w:qFormat/>
    <w:uiPriority w:val="99"/>
    <w:rPr>
      <w:rFonts w:asciiTheme="minorHAnsi" w:hAnsiTheme="minorHAnsi" w:eastAsiaTheme="minorEastAsia" w:cstheme="minorBidi"/>
      <w:sz w:val="22"/>
      <w:szCs w:val="22"/>
    </w:rPr>
  </w:style>
  <w:style w:type="character" w:customStyle="1" w:styleId="24">
    <w:name w:val="正文文本 字符"/>
    <w:basedOn w:val="17"/>
    <w:link w:val="8"/>
    <w:qFormat/>
    <w:uiPriority w:val="99"/>
    <w:rPr>
      <w:rFonts w:asciiTheme="minorHAnsi" w:hAnsiTheme="minorHAnsi" w:eastAsiaTheme="minorEastAsia" w:cstheme="minorBidi"/>
      <w:sz w:val="22"/>
      <w:szCs w:val="22"/>
    </w:rPr>
  </w:style>
  <w:style w:type="character" w:customStyle="1" w:styleId="25">
    <w:name w:val="标题 1 字符"/>
    <w:basedOn w:val="17"/>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标题 4 字符"/>
    <w:basedOn w:val="17"/>
    <w:link w:val="5"/>
    <w:qFormat/>
    <w:uiPriority w:val="9"/>
    <w:rPr>
      <w:rFonts w:asciiTheme="majorHAnsi" w:hAnsiTheme="majorHAnsi" w:eastAsiaTheme="majorEastAsia" w:cstheme="majorBidi"/>
      <w:b/>
      <w:bCs/>
      <w:sz w:val="28"/>
      <w:szCs w:val="28"/>
    </w:rPr>
  </w:style>
  <w:style w:type="paragraph" w:customStyle="1" w:styleId="28">
    <w:name w:val="ybc-li-component"/>
    <w:basedOn w:val="1"/>
    <w:qFormat/>
    <w:uiPriority w:val="0"/>
    <w:pPr>
      <w:widowControl/>
      <w:spacing w:before="100" w:beforeAutospacing="1" w:after="100" w:afterAutospacing="1"/>
      <w:jc w:val="left"/>
    </w:pPr>
    <w:rPr>
      <w:rFonts w:ascii="宋体" w:hAnsi="宋体" w:cs="宋体"/>
      <w:sz w:val="24"/>
      <w:szCs w:val="24"/>
    </w:rPr>
  </w:style>
  <w:style w:type="character" w:customStyle="1" w:styleId="29">
    <w:name w:val="ybc-li-component_dot"/>
    <w:basedOn w:val="17"/>
    <w:qFormat/>
    <w:uiPriority w:val="0"/>
  </w:style>
  <w:style w:type="character" w:customStyle="1" w:styleId="30">
    <w:name w:val="ybc-li-component_content"/>
    <w:basedOn w:val="17"/>
    <w:qFormat/>
    <w:uiPriority w:val="0"/>
  </w:style>
  <w:style w:type="character" w:customStyle="1" w:styleId="31">
    <w:name w:val="日期 字符"/>
    <w:basedOn w:val="17"/>
    <w:link w:val="10"/>
    <w:qFormat/>
    <w:uiPriority w:val="0"/>
    <w:rPr>
      <w:sz w:val="21"/>
      <w:szCs w:val="22"/>
    </w:rPr>
  </w:style>
  <w:style w:type="character" w:customStyle="1" w:styleId="32">
    <w:name w:val="标题 3 字符"/>
    <w:basedOn w:val="17"/>
    <w:link w:val="4"/>
    <w:semiHidden/>
    <w:qFormat/>
    <w:uiPriority w:val="0"/>
    <w:rPr>
      <w:b/>
      <w:bCs/>
      <w:sz w:val="32"/>
      <w:szCs w:val="32"/>
    </w:rPr>
  </w:style>
  <w:style w:type="character" w:customStyle="1" w:styleId="33">
    <w:name w:val="标题 5 字符"/>
    <w:basedOn w:val="17"/>
    <w:link w:val="6"/>
    <w:qFormat/>
    <w:uiPriority w:val="9"/>
    <w:rPr>
      <w:b/>
      <w:bCs/>
      <w:sz w:val="28"/>
      <w:szCs w:val="28"/>
    </w:rPr>
  </w:style>
  <w:style w:type="paragraph" w:customStyle="1" w:styleId="34">
    <w:name w:val="修订1"/>
    <w:hidden/>
    <w:unhideWhenUsed/>
    <w:qFormat/>
    <w:uiPriority w:val="99"/>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6c3b19de-d8a8-4a6b-814e-fd30248bfe9e</errorID>
      <errorWord>～</errorWord>
      <group>L1_Format</group>
      <groupName>格式问题</groupName>
      <ability>L2_HalfPunc</ability>
      <abilityName>全半角检查</abilityName>
      <candidateList>
        <item>~</item>
      </candidateList>
      <explain>文本全半角错误。</explain>
      <paraID>1AEAA781</paraID>
      <start>1</start>
      <end>2</end>
      <status>modified</status>
      <modifiedWord>~</modifiedWord>
      <trackRevisions>false</trackRevisions>
    </reviewItem>
    <reviewItem>
      <errorID>5b2d5f88-978f-4712-b36f-44d56aae5b54</errorID>
      <errorWord>探测</errorWord>
      <group>L1_Word</group>
      <groupName>字词问题</groupName>
      <ability>L2_Typo</ability>
      <abilityName>字词错误</abilityName>
      <candidateList>
        <item>探</item>
      </candidateList>
      <explain/>
      <paraID>4CF126D7</paraID>
      <start>10</start>
      <end>12</end>
      <status>unmodified</status>
      <modifiedWord/>
      <trackRevisions>false</trackRevisions>
    </reviewItem>
    <reviewItem>
      <errorID>6b2fbc51-cd3d-4ddc-b450-f83727307185</errorID>
      <errorWord>多</errorWord>
      <group>L1_Word</group>
      <groupName>字词问题</groupName>
      <ability>L2_Typo</ability>
      <abilityName>字词错误</abilityName>
      <candidateList>
        <item>对</item>
      </candidateList>
      <explain>存在发音相近字词的误用。</explain>
      <paraID>22CC0CA9</paraID>
      <start>0</start>
      <end>1</end>
      <status>unmodified</status>
      <modifiedWord/>
      <trackRevisions>false</trackRevisions>
    </reviewItem>
    <reviewItem>
      <errorID>e45f9af9-2c3e-4ad4-a139-25e8f2edcb77</errorID>
      <errorWord>多</errorWord>
      <group>L1_Word</group>
      <groupName>字词问题</groupName>
      <ability>L2_Typo</ability>
      <abilityName>字词错误</abilityName>
      <candidateList>
        <item>对</item>
      </candidateList>
      <explain>存在发音相近字词的误用。</explain>
      <paraID>41B583AC</paraID>
      <start>0</start>
      <end>1</end>
      <status>unmodified</status>
      <modifiedWord/>
      <trackRevisions>false</trackRevisions>
    </reviewItem>
    <reviewItem>
      <errorID>7b8aa16f-7b32-4cfa-8e6f-cc4d870f85c6</errorID>
      <errorWord>多</errorWord>
      <group>L1_Word</group>
      <groupName>字词问题</groupName>
      <ability>L2_Typo</ability>
      <abilityName>字词错误</abilityName>
      <candidateList>
        <item>对</item>
      </candidateList>
      <explain>存在发音相近字词的误用。</explain>
      <paraID>449C41A9</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39d69-31df-489a-affa-497d81a60c8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6299</Words>
  <Characters>7265</Characters>
  <Lines>233</Lines>
  <Paragraphs>245</Paragraphs>
  <TotalTime>0</TotalTime>
  <ScaleCrop>false</ScaleCrop>
  <LinksUpToDate>false</LinksUpToDate>
  <CharactersWithSpaces>7534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2024-09-14T07:11:00Z</dcterms:created>
  <dc:creator>13401</dc:creator>
  <cp:lastModifiedBy>Cynthia王璨</cp:lastModifiedBy>
  <dcterms:modified xsi:type="dcterms:W3CDTF">2025-11-12T03:02:15Z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9205420CDFF64D11BC667DDBDC3E39FA_13</vt:lpwstr>
  </property>
  <property fmtid="{D5CDD505-2E9C-101B-9397-08002B2CF9AE}" pid="4" name="KSOTemplateDocerSaveRecord">
    <vt:lpwstr>eyJoZGlkIjoiMzEwNTM5NzYwMDRjMzkwZTVkZjY2ODkwMGIxNGU0OTUiLCJ1c2VySWQiOiI3MDczMTQxNDkifQ==</vt:lpwstr>
  </property>
</Properties>
</file>