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F06065D">
      <w:pPr>
        <w:pStyle w:val="6"/>
        <w:spacing w:line="440" w:lineRule="exact"/>
        <w:rPr>
          <w:rFonts w:ascii="Times New Roman" w:hAnsi="Times New Roman" w:cs="Times New Roman"/>
          <w:sz w:val="20"/>
          <w:lang w:eastAsia="zh-CN"/>
        </w:rPr>
      </w:pPr>
    </w:p>
    <w:p w14:paraId="574388EB">
      <w:pPr>
        <w:pStyle w:val="6"/>
        <w:spacing w:line="440" w:lineRule="exact"/>
        <w:rPr>
          <w:rFonts w:ascii="Times New Roman" w:hAnsi="Times New Roman" w:cs="Times New Roman"/>
          <w:sz w:val="20"/>
        </w:rPr>
      </w:pPr>
    </w:p>
    <w:p w14:paraId="126A3B62">
      <w:pPr>
        <w:pStyle w:val="6"/>
        <w:spacing w:line="440" w:lineRule="exact"/>
        <w:rPr>
          <w:rFonts w:ascii="Times New Roman" w:hAnsi="Times New Roman" w:cs="Times New Roman"/>
          <w:sz w:val="20"/>
        </w:rPr>
      </w:pPr>
    </w:p>
    <w:p w14:paraId="35D1B52C">
      <w:pPr>
        <w:pStyle w:val="6"/>
        <w:spacing w:line="440" w:lineRule="exact"/>
        <w:rPr>
          <w:rFonts w:ascii="Times New Roman" w:hAnsi="Times New Roman" w:cs="Times New Roman"/>
          <w:sz w:val="20"/>
        </w:rPr>
      </w:pPr>
    </w:p>
    <w:p w14:paraId="7A62645F">
      <w:pPr>
        <w:pStyle w:val="6"/>
        <w:spacing w:line="440" w:lineRule="exact"/>
        <w:rPr>
          <w:rFonts w:ascii="Times New Roman" w:hAnsi="Times New Roman" w:cs="Times New Roman"/>
          <w:sz w:val="20"/>
        </w:rPr>
      </w:pPr>
    </w:p>
    <w:p w14:paraId="1D918AC1">
      <w:pPr>
        <w:pStyle w:val="6"/>
        <w:spacing w:line="440" w:lineRule="exact"/>
        <w:rPr>
          <w:rFonts w:ascii="Times New Roman" w:hAnsi="Times New Roman" w:cs="Times New Roman"/>
          <w:sz w:val="20"/>
        </w:rPr>
      </w:pPr>
    </w:p>
    <w:p w14:paraId="078ECF1F">
      <w:pPr>
        <w:spacing w:line="360" w:lineRule="auto"/>
        <w:jc w:val="center"/>
        <w:rPr>
          <w:rFonts w:hint="eastAsia" w:ascii="Times New Roman" w:hAnsi="Times New Roman" w:eastAsia="黑体" w:cs="Times New Roman"/>
          <w:b/>
          <w:sz w:val="48"/>
          <w:szCs w:val="48"/>
          <w:lang w:eastAsia="zh-CN"/>
        </w:rPr>
      </w:pPr>
      <w:r>
        <w:rPr>
          <w:rFonts w:hint="eastAsia" w:ascii="Times New Roman" w:hAnsi="Times New Roman" w:eastAsia="黑体" w:cs="Times New Roman"/>
          <w:b/>
          <w:sz w:val="48"/>
          <w:szCs w:val="48"/>
          <w:lang w:val="en-US" w:eastAsia="zh-CN"/>
        </w:rPr>
        <w:t>干散货港口颗粒物精细化管控技术规范</w:t>
      </w:r>
    </w:p>
    <w:p w14:paraId="09BB4C0E">
      <w:pPr>
        <w:spacing w:line="360" w:lineRule="auto"/>
        <w:jc w:val="center"/>
        <w:rPr>
          <w:rFonts w:hint="eastAsia" w:ascii="Times New Roman" w:hAnsi="Times New Roman" w:eastAsia="黑体" w:cs="Times New Roman"/>
          <w:b/>
          <w:sz w:val="48"/>
          <w:szCs w:val="48"/>
          <w:lang w:eastAsia="zh-CN"/>
        </w:rPr>
      </w:pPr>
      <w:r>
        <w:rPr>
          <w:rFonts w:hint="eastAsia" w:ascii="Times New Roman" w:hAnsi="Times New Roman" w:eastAsia="黑体" w:cs="Times New Roman"/>
          <w:b/>
          <w:sz w:val="48"/>
          <w:szCs w:val="48"/>
          <w:lang w:eastAsia="zh-CN"/>
        </w:rPr>
        <w:t>编制说明</w:t>
      </w:r>
    </w:p>
    <w:p w14:paraId="0BDD92CE">
      <w:pPr>
        <w:spacing w:line="360" w:lineRule="auto"/>
        <w:jc w:val="center"/>
        <w:rPr>
          <w:rFonts w:hint="eastAsia" w:ascii="Times New Roman" w:hAnsi="Times New Roman" w:eastAsia="黑体" w:cs="Times New Roman"/>
          <w:b/>
          <w:sz w:val="48"/>
          <w:szCs w:val="48"/>
          <w:lang w:eastAsia="zh-CN"/>
        </w:rPr>
      </w:pPr>
      <w:r>
        <w:rPr>
          <w:rFonts w:hint="eastAsia" w:ascii="Times New Roman" w:hAnsi="Times New Roman" w:eastAsia="黑体" w:cs="Times New Roman"/>
          <w:b/>
          <w:sz w:val="48"/>
          <w:szCs w:val="48"/>
          <w:lang w:eastAsia="zh-CN"/>
        </w:rPr>
        <w:t>（</w:t>
      </w:r>
      <w:r>
        <w:rPr>
          <w:rFonts w:hint="eastAsia" w:ascii="Times New Roman" w:hAnsi="Times New Roman" w:eastAsia="黑体" w:cs="Times New Roman"/>
          <w:b/>
          <w:sz w:val="48"/>
          <w:szCs w:val="48"/>
          <w:lang w:val="en-US" w:eastAsia="zh-CN"/>
        </w:rPr>
        <w:t>征求意见稿</w:t>
      </w:r>
      <w:r>
        <w:rPr>
          <w:rFonts w:hint="eastAsia" w:ascii="Times New Roman" w:hAnsi="Times New Roman" w:eastAsia="黑体" w:cs="Times New Roman"/>
          <w:b/>
          <w:sz w:val="48"/>
          <w:szCs w:val="48"/>
          <w:lang w:eastAsia="zh-CN"/>
        </w:rPr>
        <w:t>）</w:t>
      </w:r>
    </w:p>
    <w:p w14:paraId="745A9280">
      <w:pPr>
        <w:pStyle w:val="6"/>
        <w:rPr>
          <w:rFonts w:ascii="Times New Roman" w:hAnsi="Times New Roman" w:cs="Times New Roman"/>
          <w:b/>
          <w:sz w:val="42"/>
          <w:lang w:eastAsia="zh-CN"/>
        </w:rPr>
      </w:pPr>
    </w:p>
    <w:p w14:paraId="5A42F5BF">
      <w:pPr>
        <w:pStyle w:val="6"/>
        <w:rPr>
          <w:rFonts w:ascii="Times New Roman" w:hAnsi="Times New Roman" w:cs="Times New Roman"/>
          <w:b/>
          <w:sz w:val="42"/>
          <w:lang w:eastAsia="zh-CN"/>
        </w:rPr>
      </w:pPr>
    </w:p>
    <w:p w14:paraId="2CFFC5A6">
      <w:pPr>
        <w:pStyle w:val="6"/>
        <w:rPr>
          <w:rFonts w:ascii="Times New Roman" w:hAnsi="Times New Roman" w:cs="Times New Roman"/>
          <w:b/>
          <w:sz w:val="42"/>
          <w:lang w:eastAsia="zh-CN"/>
        </w:rPr>
      </w:pPr>
    </w:p>
    <w:p w14:paraId="2910E169">
      <w:pPr>
        <w:pStyle w:val="6"/>
        <w:rPr>
          <w:rFonts w:ascii="Times New Roman" w:hAnsi="Times New Roman" w:cs="Times New Roman"/>
          <w:b/>
          <w:sz w:val="42"/>
          <w:lang w:eastAsia="zh-CN"/>
        </w:rPr>
      </w:pPr>
    </w:p>
    <w:p w14:paraId="2D70141A">
      <w:pPr>
        <w:pStyle w:val="6"/>
        <w:rPr>
          <w:rFonts w:ascii="Times New Roman" w:hAnsi="Times New Roman" w:cs="Times New Roman"/>
          <w:b/>
          <w:sz w:val="42"/>
          <w:lang w:eastAsia="zh-CN"/>
        </w:rPr>
      </w:pPr>
    </w:p>
    <w:p w14:paraId="690714EB">
      <w:pPr>
        <w:pStyle w:val="6"/>
        <w:rPr>
          <w:rFonts w:ascii="Times New Roman" w:hAnsi="Times New Roman" w:cs="Times New Roman"/>
          <w:b/>
          <w:sz w:val="42"/>
          <w:lang w:eastAsia="zh-CN"/>
        </w:rPr>
      </w:pPr>
    </w:p>
    <w:p w14:paraId="776A99BF">
      <w:pPr>
        <w:pStyle w:val="6"/>
        <w:rPr>
          <w:rFonts w:ascii="Times New Roman" w:hAnsi="Times New Roman" w:cs="Times New Roman"/>
          <w:b/>
          <w:sz w:val="42"/>
          <w:lang w:eastAsia="zh-CN"/>
        </w:rPr>
      </w:pPr>
    </w:p>
    <w:p w14:paraId="30F3F325">
      <w:pPr>
        <w:pStyle w:val="6"/>
        <w:rPr>
          <w:rFonts w:ascii="Times New Roman" w:hAnsi="Times New Roman" w:cs="Times New Roman"/>
          <w:b/>
          <w:sz w:val="42"/>
          <w:lang w:eastAsia="zh-CN"/>
        </w:rPr>
      </w:pPr>
    </w:p>
    <w:p w14:paraId="05731EEF">
      <w:pPr>
        <w:pStyle w:val="6"/>
        <w:rPr>
          <w:rFonts w:ascii="Times New Roman" w:hAnsi="Times New Roman" w:cs="Times New Roman"/>
          <w:b/>
          <w:sz w:val="42"/>
          <w:lang w:eastAsia="zh-CN"/>
        </w:rPr>
      </w:pPr>
    </w:p>
    <w:p w14:paraId="71831856">
      <w:pPr>
        <w:pStyle w:val="6"/>
        <w:rPr>
          <w:rFonts w:ascii="Times New Roman" w:hAnsi="Times New Roman" w:cs="Times New Roman"/>
          <w:b/>
          <w:sz w:val="42"/>
          <w:lang w:eastAsia="zh-CN"/>
        </w:rPr>
      </w:pPr>
    </w:p>
    <w:p w14:paraId="5E335B76">
      <w:pPr>
        <w:pStyle w:val="6"/>
        <w:rPr>
          <w:rFonts w:ascii="Times New Roman" w:hAnsi="Times New Roman" w:cs="Times New Roman"/>
          <w:b/>
          <w:sz w:val="42"/>
          <w:lang w:eastAsia="zh-CN"/>
        </w:rPr>
      </w:pPr>
    </w:p>
    <w:p w14:paraId="587639FD">
      <w:pPr>
        <w:pStyle w:val="6"/>
        <w:rPr>
          <w:rFonts w:ascii="Times New Roman" w:hAnsi="Times New Roman" w:cs="Times New Roman"/>
          <w:b/>
          <w:sz w:val="42"/>
          <w:lang w:eastAsia="zh-CN"/>
        </w:rPr>
      </w:pPr>
    </w:p>
    <w:p w14:paraId="2F6ED3CB">
      <w:pPr>
        <w:pStyle w:val="6"/>
        <w:rPr>
          <w:rFonts w:ascii="Times New Roman" w:hAnsi="Times New Roman" w:cs="Times New Roman"/>
          <w:b/>
          <w:sz w:val="42"/>
          <w:lang w:eastAsia="zh-CN"/>
        </w:rPr>
      </w:pPr>
    </w:p>
    <w:p w14:paraId="17DF0D18">
      <w:pPr>
        <w:spacing w:line="360" w:lineRule="auto"/>
        <w:jc w:val="center"/>
        <w:rPr>
          <w:rFonts w:ascii="Times New Roman" w:hAnsi="Times New Roman" w:eastAsia="黑体" w:cs="Times New Roman"/>
          <w:b/>
          <w:sz w:val="36"/>
          <w:szCs w:val="36"/>
          <w:lang w:eastAsia="zh-CN"/>
        </w:rPr>
      </w:pPr>
      <w:r>
        <w:rPr>
          <w:rFonts w:ascii="Times New Roman" w:hAnsi="Times New Roman" w:eastAsia="黑体" w:cs="Times New Roman"/>
          <w:b/>
          <w:sz w:val="36"/>
          <w:szCs w:val="36"/>
          <w:lang w:eastAsia="zh-CN"/>
        </w:rPr>
        <w:t>标准起草组</w:t>
      </w:r>
    </w:p>
    <w:p w14:paraId="15D455D8">
      <w:pPr>
        <w:spacing w:line="360" w:lineRule="auto"/>
        <w:jc w:val="center"/>
        <w:rPr>
          <w:rFonts w:ascii="Times New Roman" w:hAnsi="Times New Roman" w:eastAsia="黑体" w:cs="Times New Roman"/>
          <w:b/>
          <w:sz w:val="36"/>
          <w:szCs w:val="36"/>
          <w:lang w:eastAsia="zh-CN"/>
        </w:rPr>
      </w:pPr>
      <w:r>
        <w:rPr>
          <w:rFonts w:ascii="Times New Roman" w:hAnsi="Times New Roman" w:eastAsia="黑体" w:cs="Times New Roman"/>
          <w:b/>
          <w:sz w:val="36"/>
          <w:szCs w:val="36"/>
          <w:lang w:eastAsia="zh-CN"/>
        </w:rPr>
        <w:t>202</w:t>
      </w:r>
      <w:r>
        <w:rPr>
          <w:rFonts w:hint="eastAsia" w:ascii="Times New Roman" w:hAnsi="Times New Roman" w:eastAsia="黑体" w:cs="Times New Roman"/>
          <w:b/>
          <w:sz w:val="36"/>
          <w:szCs w:val="36"/>
          <w:lang w:val="en-US" w:eastAsia="zh-CN"/>
        </w:rPr>
        <w:t>6</w:t>
      </w:r>
      <w:r>
        <w:rPr>
          <w:rFonts w:ascii="Times New Roman" w:hAnsi="Times New Roman" w:eastAsia="黑体" w:cs="Times New Roman"/>
          <w:b/>
          <w:sz w:val="36"/>
          <w:szCs w:val="36"/>
          <w:lang w:eastAsia="zh-CN"/>
        </w:rPr>
        <w:t>年</w:t>
      </w:r>
      <w:r>
        <w:rPr>
          <w:rFonts w:hint="eastAsia" w:ascii="Times New Roman" w:hAnsi="Times New Roman" w:eastAsia="黑体" w:cs="Times New Roman"/>
          <w:b/>
          <w:sz w:val="36"/>
          <w:szCs w:val="36"/>
          <w:lang w:val="en-US" w:eastAsia="zh-CN"/>
        </w:rPr>
        <w:t>3</w:t>
      </w:r>
      <w:r>
        <w:rPr>
          <w:rFonts w:ascii="Times New Roman" w:hAnsi="Times New Roman" w:eastAsia="黑体" w:cs="Times New Roman"/>
          <w:b/>
          <w:sz w:val="36"/>
          <w:szCs w:val="36"/>
          <w:lang w:eastAsia="zh-CN"/>
        </w:rPr>
        <w:t>月</w:t>
      </w:r>
    </w:p>
    <w:p w14:paraId="45FD764B">
      <w:pPr>
        <w:spacing w:line="376" w:lineRule="auto"/>
        <w:jc w:val="center"/>
        <w:rPr>
          <w:rFonts w:ascii="Times New Roman" w:hAnsi="Times New Roman" w:cs="Times New Roman"/>
          <w:sz w:val="31"/>
          <w:lang w:eastAsia="zh-CN"/>
        </w:rPr>
        <w:sectPr>
          <w:footerReference r:id="rId5" w:type="first"/>
          <w:footerReference r:id="rId3" w:type="default"/>
          <w:footerReference r:id="rId4" w:type="even"/>
          <w:type w:val="continuous"/>
          <w:pgSz w:w="11910" w:h="16840"/>
          <w:pgMar w:top="851" w:right="1418" w:bottom="1134" w:left="1418" w:header="720" w:footer="720" w:gutter="0"/>
          <w:pgBorders>
            <w:top w:val="none" w:sz="0" w:space="0"/>
            <w:left w:val="none" w:sz="0" w:space="0"/>
            <w:bottom w:val="none" w:sz="0" w:space="0"/>
            <w:right w:val="none" w:sz="0" w:space="0"/>
          </w:pgBorders>
          <w:cols w:space="720" w:num="1"/>
          <w:docGrid w:linePitch="299" w:charSpace="0"/>
        </w:sectPr>
      </w:pPr>
    </w:p>
    <w:p w14:paraId="7E30800C">
      <w:pPr>
        <w:pStyle w:val="6"/>
        <w:rPr>
          <w:rFonts w:ascii="Times New Roman" w:hAnsi="Times New Roman" w:cs="Times New Roman"/>
          <w:b/>
          <w:sz w:val="32"/>
          <w:lang w:eastAsia="zh-CN"/>
        </w:rPr>
      </w:pPr>
    </w:p>
    <w:p w14:paraId="5AC875B2">
      <w:pPr>
        <w:pStyle w:val="6"/>
        <w:rPr>
          <w:rFonts w:ascii="Times New Roman" w:hAnsi="Times New Roman" w:cs="Times New Roman"/>
          <w:b/>
          <w:sz w:val="32"/>
          <w:lang w:eastAsia="zh-CN"/>
        </w:rPr>
      </w:pPr>
    </w:p>
    <w:sdt>
      <w:sdtPr>
        <w:rPr>
          <w:rFonts w:hint="eastAsia" w:ascii="黑体" w:hAnsi="黑体" w:eastAsia="黑体" w:cs="黑体"/>
          <w:sz w:val="36"/>
          <w:szCs w:val="36"/>
          <w:lang w:val="en-US" w:eastAsia="en-US" w:bidi="ar-SA"/>
        </w:rPr>
        <w:id w:val="147460938"/>
        <w15:color w:val="DBDBDB"/>
        <w:docPartObj>
          <w:docPartGallery w:val="Table of Contents"/>
          <w:docPartUnique/>
        </w:docPartObj>
      </w:sdtPr>
      <w:sdtEndPr>
        <w:rPr>
          <w:rFonts w:hint="eastAsia" w:ascii="Times New Roman" w:hAnsi="Times New Roman" w:eastAsia="宋体" w:cs="Times New Roman"/>
          <w:sz w:val="22"/>
          <w:szCs w:val="22"/>
          <w:lang w:val="en-US" w:eastAsia="en-US" w:bidi="ar-SA"/>
        </w:rPr>
      </w:sdtEndPr>
      <w:sdtContent>
        <w:p w14:paraId="3AE970EC">
          <w:pPr>
            <w:spacing w:before="0" w:beforeLines="0" w:after="0" w:afterLines="0" w:line="240" w:lineRule="auto"/>
            <w:ind w:left="0" w:leftChars="0" w:right="0" w:rightChars="0" w:firstLine="0" w:firstLineChars="0"/>
            <w:jc w:val="center"/>
            <w:rPr>
              <w:rFonts w:hint="eastAsia" w:ascii="黑体" w:hAnsi="黑体" w:eastAsia="黑体" w:cs="黑体"/>
              <w:sz w:val="36"/>
              <w:szCs w:val="36"/>
            </w:rPr>
          </w:pPr>
          <w:r>
            <w:rPr>
              <w:rFonts w:hint="eastAsia" w:ascii="黑体" w:hAnsi="黑体" w:eastAsia="黑体" w:cs="黑体"/>
              <w:sz w:val="36"/>
              <w:szCs w:val="36"/>
            </w:rPr>
            <w:t>目</w:t>
          </w:r>
          <w:r>
            <w:rPr>
              <w:rFonts w:hint="eastAsia" w:ascii="黑体" w:hAnsi="黑体" w:eastAsia="黑体" w:cs="黑体"/>
              <w:sz w:val="36"/>
              <w:szCs w:val="36"/>
              <w:lang w:val="en-US" w:eastAsia="zh-CN"/>
            </w:rPr>
            <w:t xml:space="preserve">  </w:t>
          </w:r>
          <w:r>
            <w:rPr>
              <w:rFonts w:hint="eastAsia" w:ascii="黑体" w:hAnsi="黑体" w:eastAsia="黑体" w:cs="黑体"/>
              <w:sz w:val="36"/>
              <w:szCs w:val="36"/>
            </w:rPr>
            <w:t>录</w:t>
          </w:r>
        </w:p>
        <w:p w14:paraId="7F641FF4">
          <w:pPr>
            <w:spacing w:before="0" w:beforeLines="0" w:after="0" w:afterLines="0" w:line="240" w:lineRule="auto"/>
            <w:ind w:left="0" w:leftChars="0" w:right="0" w:rightChars="0" w:firstLine="0" w:firstLineChars="0"/>
            <w:jc w:val="center"/>
            <w:rPr>
              <w:rFonts w:hint="eastAsia" w:ascii="黑体" w:hAnsi="黑体" w:eastAsia="黑体" w:cs="黑体"/>
              <w:sz w:val="36"/>
              <w:szCs w:val="36"/>
            </w:rPr>
          </w:pPr>
        </w:p>
        <w:p w14:paraId="1D88344F">
          <w:pPr>
            <w:pStyle w:val="10"/>
            <w:keepNext w:val="0"/>
            <w:keepLines w:val="0"/>
            <w:pageBreakBefore w:val="0"/>
            <w:widowControl w:val="0"/>
            <w:tabs>
              <w:tab w:val="right" w:leader="dot" w:pos="9530"/>
            </w:tabs>
            <w:kinsoku/>
            <w:wordWrap/>
            <w:overflowPunct/>
            <w:topLinePunct w:val="0"/>
            <w:autoSpaceDE w:val="0"/>
            <w:autoSpaceDN w:val="0"/>
            <w:bidi w:val="0"/>
            <w:adjustRightInd/>
            <w:snapToGrid/>
            <w:ind w:left="0"/>
            <w:textAlignment w:val="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en-US" w:bidi="ar-SA"/>
            </w:rPr>
            <w:fldChar w:fldCharType="begin"/>
          </w:r>
          <w:r>
            <w:rPr>
              <w:rFonts w:hint="default" w:ascii="Times New Roman" w:hAnsi="Times New Roman" w:eastAsia="宋体" w:cs="Times New Roman"/>
              <w:sz w:val="24"/>
              <w:szCs w:val="24"/>
              <w:lang w:val="en-US" w:eastAsia="en-US" w:bidi="ar-SA"/>
            </w:rPr>
            <w:instrText xml:space="preserve">TOC \o "1-1" \h \u </w:instrText>
          </w:r>
          <w:r>
            <w:rPr>
              <w:rFonts w:hint="default" w:ascii="Times New Roman" w:hAnsi="Times New Roman" w:eastAsia="宋体" w:cs="Times New Roman"/>
              <w:sz w:val="24"/>
              <w:szCs w:val="24"/>
              <w:lang w:val="en-US" w:eastAsia="en-US" w:bidi="ar-SA"/>
            </w:rPr>
            <w:fldChar w:fldCharType="separate"/>
          </w:r>
          <w:r>
            <w:rPr>
              <w:rFonts w:hint="default" w:ascii="Times New Roman" w:hAnsi="Times New Roman" w:eastAsia="宋体" w:cs="Times New Roman"/>
              <w:sz w:val="24"/>
              <w:szCs w:val="24"/>
              <w:lang w:val="en-US" w:eastAsia="en-US" w:bidi="ar-SA"/>
            </w:rPr>
            <w:fldChar w:fldCharType="begin"/>
          </w:r>
          <w:r>
            <w:rPr>
              <w:rFonts w:hint="default" w:ascii="Times New Roman" w:hAnsi="Times New Roman" w:eastAsia="宋体" w:cs="Times New Roman"/>
              <w:sz w:val="24"/>
              <w:szCs w:val="24"/>
              <w:lang w:val="en-US" w:eastAsia="en-US" w:bidi="ar-SA"/>
            </w:rPr>
            <w:instrText xml:space="preserve"> HYPERLINK \l _Toc29060 </w:instrText>
          </w:r>
          <w:r>
            <w:rPr>
              <w:rFonts w:hint="default" w:ascii="Times New Roman" w:hAnsi="Times New Roman" w:eastAsia="宋体" w:cs="Times New Roman"/>
              <w:sz w:val="24"/>
              <w:szCs w:val="24"/>
              <w:lang w:val="en-US" w:eastAsia="en-US" w:bidi="ar-SA"/>
            </w:rPr>
            <w:fldChar w:fldCharType="separate"/>
          </w:r>
          <w:r>
            <w:rPr>
              <w:rFonts w:hint="default" w:ascii="Times New Roman" w:hAnsi="Times New Roman" w:eastAsia="黑体" w:cs="Times New Roman"/>
              <w:spacing w:val="-2"/>
              <w:sz w:val="24"/>
              <w:szCs w:val="24"/>
              <w:lang w:eastAsia="zh-CN"/>
            </w:rPr>
            <w:t>一、工作简况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_Toc29060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en-US" w:bidi="ar-SA"/>
            </w:rPr>
            <w:fldChar w:fldCharType="end"/>
          </w:r>
        </w:p>
        <w:p w14:paraId="17638BB6">
          <w:pPr>
            <w:pStyle w:val="10"/>
            <w:keepNext w:val="0"/>
            <w:keepLines w:val="0"/>
            <w:pageBreakBefore w:val="0"/>
            <w:widowControl w:val="0"/>
            <w:tabs>
              <w:tab w:val="right" w:leader="dot" w:pos="9530"/>
            </w:tabs>
            <w:kinsoku/>
            <w:wordWrap/>
            <w:overflowPunct/>
            <w:topLinePunct w:val="0"/>
            <w:autoSpaceDE w:val="0"/>
            <w:autoSpaceDN w:val="0"/>
            <w:bidi w:val="0"/>
            <w:adjustRightInd/>
            <w:snapToGrid/>
            <w:ind w:left="0"/>
            <w:textAlignment w:val="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en-US" w:bidi="ar-SA"/>
            </w:rPr>
            <w:fldChar w:fldCharType="begin"/>
          </w:r>
          <w:r>
            <w:rPr>
              <w:rFonts w:hint="default" w:ascii="Times New Roman" w:hAnsi="Times New Roman" w:eastAsia="宋体" w:cs="Times New Roman"/>
              <w:sz w:val="24"/>
              <w:szCs w:val="24"/>
              <w:lang w:val="en-US" w:eastAsia="en-US" w:bidi="ar-SA"/>
            </w:rPr>
            <w:instrText xml:space="preserve"> HYPERLINK \l _Toc25749 </w:instrText>
          </w:r>
          <w:r>
            <w:rPr>
              <w:rFonts w:hint="default" w:ascii="Times New Roman" w:hAnsi="Times New Roman" w:eastAsia="宋体" w:cs="Times New Roman"/>
              <w:sz w:val="24"/>
              <w:szCs w:val="24"/>
              <w:lang w:val="en-US" w:eastAsia="en-US" w:bidi="ar-SA"/>
            </w:rPr>
            <w:fldChar w:fldCharType="separate"/>
          </w:r>
          <w:r>
            <w:rPr>
              <w:rFonts w:hint="default" w:ascii="Times New Roman" w:hAnsi="Times New Roman" w:eastAsia="黑体" w:cs="Times New Roman"/>
              <w:spacing w:val="-2"/>
              <w:sz w:val="24"/>
              <w:szCs w:val="24"/>
              <w:lang w:val="en-US" w:eastAsia="zh-CN"/>
            </w:rPr>
            <w:t>二</w:t>
          </w:r>
          <w:r>
            <w:rPr>
              <w:rFonts w:hint="default" w:ascii="Times New Roman" w:hAnsi="Times New Roman" w:eastAsia="黑体" w:cs="Times New Roman"/>
              <w:spacing w:val="-2"/>
              <w:sz w:val="24"/>
              <w:szCs w:val="24"/>
              <w:lang w:eastAsia="zh-CN"/>
            </w:rPr>
            <w:t>、标准编制原则和确定标准主要内容的论据</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_Toc25749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en-US" w:bidi="ar-SA"/>
            </w:rPr>
            <w:fldChar w:fldCharType="end"/>
          </w:r>
        </w:p>
        <w:p w14:paraId="2040BECF">
          <w:pPr>
            <w:pStyle w:val="10"/>
            <w:keepNext w:val="0"/>
            <w:keepLines w:val="0"/>
            <w:pageBreakBefore w:val="0"/>
            <w:widowControl w:val="0"/>
            <w:tabs>
              <w:tab w:val="right" w:leader="dot" w:pos="9530"/>
            </w:tabs>
            <w:kinsoku/>
            <w:wordWrap/>
            <w:overflowPunct/>
            <w:topLinePunct w:val="0"/>
            <w:autoSpaceDE w:val="0"/>
            <w:autoSpaceDN w:val="0"/>
            <w:bidi w:val="0"/>
            <w:adjustRightInd/>
            <w:snapToGrid/>
            <w:ind w:left="0"/>
            <w:textAlignment w:val="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en-US" w:bidi="ar-SA"/>
            </w:rPr>
            <w:fldChar w:fldCharType="begin"/>
          </w:r>
          <w:r>
            <w:rPr>
              <w:rFonts w:hint="default" w:ascii="Times New Roman" w:hAnsi="Times New Roman" w:eastAsia="宋体" w:cs="Times New Roman"/>
              <w:sz w:val="24"/>
              <w:szCs w:val="24"/>
              <w:lang w:val="en-US" w:eastAsia="en-US" w:bidi="ar-SA"/>
            </w:rPr>
            <w:instrText xml:space="preserve"> HYPERLINK \l _Toc22486 </w:instrText>
          </w:r>
          <w:r>
            <w:rPr>
              <w:rFonts w:hint="default" w:ascii="Times New Roman" w:hAnsi="Times New Roman" w:eastAsia="宋体" w:cs="Times New Roman"/>
              <w:sz w:val="24"/>
              <w:szCs w:val="24"/>
              <w:lang w:val="en-US" w:eastAsia="en-US" w:bidi="ar-SA"/>
            </w:rPr>
            <w:fldChar w:fldCharType="separate"/>
          </w:r>
          <w:r>
            <w:rPr>
              <w:rFonts w:hint="default" w:ascii="Times New Roman" w:hAnsi="Times New Roman" w:eastAsia="黑体" w:cs="Times New Roman"/>
              <w:spacing w:val="-2"/>
              <w:sz w:val="24"/>
              <w:szCs w:val="24"/>
              <w:lang w:val="en-US" w:eastAsia="zh-CN"/>
            </w:rPr>
            <w:t>三</w:t>
          </w:r>
          <w:r>
            <w:rPr>
              <w:rFonts w:hint="default" w:ascii="Times New Roman" w:hAnsi="Times New Roman" w:eastAsia="黑体" w:cs="Times New Roman"/>
              <w:spacing w:val="-2"/>
              <w:sz w:val="24"/>
              <w:szCs w:val="24"/>
              <w:lang w:eastAsia="zh-CN"/>
            </w:rPr>
            <w:t>、综述报告、调研报告</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_Toc22486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7</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en-US" w:bidi="ar-SA"/>
            </w:rPr>
            <w:fldChar w:fldCharType="end"/>
          </w:r>
        </w:p>
        <w:p w14:paraId="06061162">
          <w:pPr>
            <w:pStyle w:val="10"/>
            <w:keepNext w:val="0"/>
            <w:keepLines w:val="0"/>
            <w:pageBreakBefore w:val="0"/>
            <w:widowControl w:val="0"/>
            <w:tabs>
              <w:tab w:val="right" w:leader="dot" w:pos="9530"/>
            </w:tabs>
            <w:kinsoku/>
            <w:wordWrap/>
            <w:overflowPunct/>
            <w:topLinePunct w:val="0"/>
            <w:autoSpaceDE w:val="0"/>
            <w:autoSpaceDN w:val="0"/>
            <w:bidi w:val="0"/>
            <w:adjustRightInd/>
            <w:snapToGrid/>
            <w:ind w:left="0"/>
            <w:textAlignment w:val="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en-US" w:bidi="ar-SA"/>
            </w:rPr>
            <w:fldChar w:fldCharType="begin"/>
          </w:r>
          <w:r>
            <w:rPr>
              <w:rFonts w:hint="default" w:ascii="Times New Roman" w:hAnsi="Times New Roman" w:eastAsia="宋体" w:cs="Times New Roman"/>
              <w:sz w:val="24"/>
              <w:szCs w:val="24"/>
              <w:lang w:val="en-US" w:eastAsia="en-US" w:bidi="ar-SA"/>
            </w:rPr>
            <w:instrText xml:space="preserve"> HYPERLINK \l _Toc31521 </w:instrText>
          </w:r>
          <w:r>
            <w:rPr>
              <w:rFonts w:hint="default" w:ascii="Times New Roman" w:hAnsi="Times New Roman" w:eastAsia="宋体" w:cs="Times New Roman"/>
              <w:sz w:val="24"/>
              <w:szCs w:val="24"/>
              <w:lang w:val="en-US" w:eastAsia="en-US" w:bidi="ar-SA"/>
            </w:rPr>
            <w:fldChar w:fldCharType="separate"/>
          </w:r>
          <w:r>
            <w:rPr>
              <w:rFonts w:hint="default" w:ascii="Times New Roman" w:hAnsi="Times New Roman" w:eastAsia="黑体" w:cs="Times New Roman"/>
              <w:spacing w:val="-2"/>
              <w:sz w:val="24"/>
              <w:szCs w:val="24"/>
              <w:lang w:eastAsia="zh-CN"/>
            </w:rPr>
            <w:t>四、国内外相关法律、法规和标准情况的说明</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_Toc31521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18</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en-US" w:bidi="ar-SA"/>
            </w:rPr>
            <w:fldChar w:fldCharType="end"/>
          </w:r>
        </w:p>
        <w:p w14:paraId="32156BAF">
          <w:pPr>
            <w:pStyle w:val="10"/>
            <w:keepNext w:val="0"/>
            <w:keepLines w:val="0"/>
            <w:pageBreakBefore w:val="0"/>
            <w:widowControl w:val="0"/>
            <w:tabs>
              <w:tab w:val="right" w:leader="dot" w:pos="9530"/>
            </w:tabs>
            <w:kinsoku/>
            <w:wordWrap/>
            <w:overflowPunct/>
            <w:topLinePunct w:val="0"/>
            <w:autoSpaceDE w:val="0"/>
            <w:autoSpaceDN w:val="0"/>
            <w:bidi w:val="0"/>
            <w:adjustRightInd/>
            <w:snapToGrid/>
            <w:ind w:left="0"/>
            <w:textAlignment w:val="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en-US" w:bidi="ar-SA"/>
            </w:rPr>
            <w:fldChar w:fldCharType="begin"/>
          </w:r>
          <w:r>
            <w:rPr>
              <w:rFonts w:hint="default" w:ascii="Times New Roman" w:hAnsi="Times New Roman" w:eastAsia="宋体" w:cs="Times New Roman"/>
              <w:sz w:val="24"/>
              <w:szCs w:val="24"/>
              <w:lang w:val="en-US" w:eastAsia="en-US" w:bidi="ar-SA"/>
            </w:rPr>
            <w:instrText xml:space="preserve"> HYPERLINK \l _Toc12998 </w:instrText>
          </w:r>
          <w:r>
            <w:rPr>
              <w:rFonts w:hint="default" w:ascii="Times New Roman" w:hAnsi="Times New Roman" w:eastAsia="宋体" w:cs="Times New Roman"/>
              <w:sz w:val="24"/>
              <w:szCs w:val="24"/>
              <w:lang w:val="en-US" w:eastAsia="en-US" w:bidi="ar-SA"/>
            </w:rPr>
            <w:fldChar w:fldCharType="separate"/>
          </w:r>
          <w:r>
            <w:rPr>
              <w:rFonts w:hint="default" w:ascii="Times New Roman" w:hAnsi="Times New Roman" w:eastAsia="黑体" w:cs="Times New Roman"/>
              <w:spacing w:val="-2"/>
              <w:sz w:val="24"/>
              <w:szCs w:val="24"/>
              <w:lang w:eastAsia="zh-CN"/>
            </w:rPr>
            <w:t>五、与我国有关的现行法律、法规和强制性标准的关系</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_Toc12998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23</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en-US" w:bidi="ar-SA"/>
            </w:rPr>
            <w:fldChar w:fldCharType="end"/>
          </w:r>
        </w:p>
        <w:p w14:paraId="593AD4B3">
          <w:pPr>
            <w:pStyle w:val="10"/>
            <w:keepNext w:val="0"/>
            <w:keepLines w:val="0"/>
            <w:pageBreakBefore w:val="0"/>
            <w:widowControl w:val="0"/>
            <w:tabs>
              <w:tab w:val="right" w:leader="dot" w:pos="9530"/>
            </w:tabs>
            <w:kinsoku/>
            <w:wordWrap/>
            <w:overflowPunct/>
            <w:topLinePunct w:val="0"/>
            <w:autoSpaceDE w:val="0"/>
            <w:autoSpaceDN w:val="0"/>
            <w:bidi w:val="0"/>
            <w:adjustRightInd/>
            <w:snapToGrid/>
            <w:ind w:left="0"/>
            <w:textAlignment w:val="auto"/>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en-US" w:bidi="ar-SA"/>
            </w:rPr>
            <w:fldChar w:fldCharType="begin"/>
          </w:r>
          <w:r>
            <w:rPr>
              <w:rFonts w:hint="default" w:ascii="Times New Roman" w:hAnsi="Times New Roman" w:eastAsia="宋体" w:cs="Times New Roman"/>
              <w:sz w:val="24"/>
              <w:szCs w:val="24"/>
              <w:lang w:val="en-US" w:eastAsia="en-US" w:bidi="ar-SA"/>
            </w:rPr>
            <w:instrText xml:space="preserve"> HYPERLINK \l _Toc7482 </w:instrText>
          </w:r>
          <w:r>
            <w:rPr>
              <w:rFonts w:hint="default" w:ascii="Times New Roman" w:hAnsi="Times New Roman" w:eastAsia="宋体" w:cs="Times New Roman"/>
              <w:sz w:val="24"/>
              <w:szCs w:val="24"/>
              <w:lang w:val="en-US" w:eastAsia="en-US" w:bidi="ar-SA"/>
            </w:rPr>
            <w:fldChar w:fldCharType="separate"/>
          </w:r>
          <w:r>
            <w:rPr>
              <w:rFonts w:hint="default" w:ascii="Times New Roman" w:hAnsi="Times New Roman" w:eastAsia="黑体" w:cs="Times New Roman"/>
              <w:spacing w:val="-2"/>
              <w:sz w:val="24"/>
              <w:szCs w:val="24"/>
              <w:lang w:val="en-US" w:eastAsia="zh-CN"/>
            </w:rPr>
            <w:t>六</w:t>
          </w:r>
          <w:r>
            <w:rPr>
              <w:rFonts w:hint="default" w:ascii="Times New Roman" w:hAnsi="Times New Roman" w:eastAsia="黑体" w:cs="Times New Roman"/>
              <w:spacing w:val="-2"/>
              <w:sz w:val="24"/>
              <w:szCs w:val="24"/>
              <w:lang w:eastAsia="zh-CN"/>
            </w:rPr>
            <w:t>、贯彻标准的要求和措施建议（包括组织措施、技术措施、过渡办法等内容）</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_Toc7482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23</w:t>
          </w:r>
          <w:r>
            <w:rPr>
              <w:rFonts w:hint="default" w:ascii="Times New Roman" w:hAnsi="Times New Roman" w:cs="Times New Roman"/>
              <w:sz w:val="24"/>
              <w:szCs w:val="24"/>
            </w:rPr>
            <w:fldChar w:fldCharType="end"/>
          </w:r>
          <w:r>
            <w:rPr>
              <w:rFonts w:hint="default" w:ascii="Times New Roman" w:hAnsi="Times New Roman" w:eastAsia="宋体" w:cs="Times New Roman"/>
              <w:sz w:val="24"/>
              <w:szCs w:val="24"/>
              <w:lang w:val="en-US" w:eastAsia="en-US" w:bidi="ar-SA"/>
            </w:rPr>
            <w:fldChar w:fldCharType="end"/>
          </w:r>
        </w:p>
        <w:p w14:paraId="21BFC608">
          <w:pPr>
            <w:keepNext w:val="0"/>
            <w:keepLines w:val="0"/>
            <w:pageBreakBefore w:val="0"/>
            <w:widowControl w:val="0"/>
            <w:kinsoku/>
            <w:wordWrap/>
            <w:overflowPunct/>
            <w:topLinePunct w:val="0"/>
            <w:autoSpaceDE w:val="0"/>
            <w:autoSpaceDN w:val="0"/>
            <w:bidi w:val="0"/>
            <w:adjustRightInd/>
            <w:snapToGrid/>
            <w:ind w:left="0"/>
            <w:textAlignment w:val="auto"/>
            <w:rPr>
              <w:rFonts w:ascii="Times New Roman" w:hAnsi="Times New Roman" w:eastAsia="宋体" w:cs="Times New Roman"/>
              <w:sz w:val="22"/>
              <w:szCs w:val="22"/>
              <w:lang w:val="en-US" w:eastAsia="en-US" w:bidi="ar-SA"/>
            </w:rPr>
          </w:pPr>
          <w:r>
            <w:rPr>
              <w:rFonts w:hint="default" w:ascii="Times New Roman" w:hAnsi="Times New Roman" w:eastAsia="宋体" w:cs="Times New Roman"/>
              <w:sz w:val="24"/>
              <w:szCs w:val="24"/>
              <w:lang w:val="en-US" w:eastAsia="en-US" w:bidi="ar-SA"/>
            </w:rPr>
            <w:fldChar w:fldCharType="end"/>
          </w:r>
        </w:p>
      </w:sdtContent>
    </w:sdt>
    <w:p w14:paraId="5C8198D0">
      <w:pPr>
        <w:rPr>
          <w:rFonts w:ascii="Times New Roman" w:hAnsi="Times New Roman" w:eastAsia="宋体" w:cs="Times New Roman"/>
          <w:sz w:val="22"/>
          <w:szCs w:val="22"/>
          <w:lang w:val="en-US" w:eastAsia="en-US" w:bidi="ar-SA"/>
        </w:rPr>
        <w:sectPr>
          <w:footerReference r:id="rId6" w:type="default"/>
          <w:pgSz w:w="11910" w:h="16840"/>
          <w:pgMar w:top="1500" w:right="1180" w:bottom="1200" w:left="1200" w:header="0" w:footer="1003" w:gutter="0"/>
          <w:pgBorders>
            <w:top w:val="none" w:sz="0" w:space="0"/>
            <w:left w:val="none" w:sz="0" w:space="0"/>
            <w:bottom w:val="none" w:sz="0" w:space="0"/>
            <w:right w:val="none" w:sz="0" w:space="0"/>
          </w:pgBorders>
          <w:cols w:space="720" w:num="1"/>
        </w:sectPr>
      </w:pPr>
    </w:p>
    <w:p w14:paraId="0AC60EB4">
      <w:pPr>
        <w:pStyle w:val="2"/>
        <w:spacing w:before="240" w:afterLines="50"/>
        <w:ind w:left="607"/>
        <w:rPr>
          <w:rFonts w:ascii="Times New Roman" w:hAnsi="Times New Roman" w:eastAsia="黑体" w:cs="Times New Roman"/>
          <w:sz w:val="28"/>
          <w:szCs w:val="28"/>
          <w:lang w:eastAsia="zh-CN"/>
        </w:rPr>
      </w:pPr>
      <w:bookmarkStart w:id="0" w:name="_Toc29060"/>
      <w:r>
        <w:rPr>
          <w:rFonts w:ascii="Times New Roman" w:hAnsi="Times New Roman" w:eastAsia="黑体" w:cs="Times New Roman"/>
          <w:spacing w:val="-2"/>
          <w:sz w:val="28"/>
          <w:szCs w:val="28"/>
          <w:lang w:eastAsia="zh-CN"/>
        </w:rPr>
        <w:t>一、工作简况</w:t>
      </w:r>
      <w:bookmarkEnd w:id="0"/>
    </w:p>
    <w:p w14:paraId="778309DC">
      <w:pPr>
        <w:spacing w:before="240" w:after="240"/>
        <w:ind w:left="607"/>
        <w:rPr>
          <w:rFonts w:ascii="Times New Roman" w:hAnsi="Times New Roman" w:cs="Times New Roman"/>
          <w:b/>
          <w:sz w:val="24"/>
          <w:szCs w:val="24"/>
          <w:lang w:eastAsia="zh-CN"/>
        </w:rPr>
      </w:pPr>
      <w:r>
        <w:rPr>
          <w:rFonts w:ascii="Times New Roman" w:hAnsi="Times New Roman" w:cs="Times New Roman"/>
          <w:b/>
          <w:sz w:val="24"/>
          <w:szCs w:val="24"/>
          <w:lang w:eastAsia="zh-CN"/>
        </w:rPr>
        <w:t>（一）任务来源</w:t>
      </w:r>
    </w:p>
    <w:p w14:paraId="2F79074E">
      <w:pPr>
        <w:pStyle w:val="6"/>
        <w:spacing w:line="362" w:lineRule="auto"/>
        <w:ind w:left="609" w:right="632" w:firstLine="480"/>
        <w:jc w:val="both"/>
        <w:rPr>
          <w:rFonts w:hint="eastAsia" w:ascii="Times New Roman" w:hAnsi="Times New Roman" w:cs="Times New Roman"/>
          <w:lang w:eastAsia="zh-CN"/>
        </w:rPr>
      </w:pPr>
      <w:r>
        <w:rPr>
          <w:rFonts w:hint="eastAsia" w:ascii="Times New Roman" w:hAnsi="Times New Roman" w:cs="Times New Roman"/>
          <w:lang w:eastAsia="zh-CN"/>
        </w:rPr>
        <w:t>作为连接水陆运输的核心节点与综合交通体系枢纽，港口在支撑区域经济发展、服务对外开放格局、保障国家经济安全等方面发挥核心枢纽作用。</w:t>
      </w:r>
      <w:r>
        <w:rPr>
          <w:rFonts w:hint="eastAsia" w:ascii="Times New Roman" w:hAnsi="Times New Roman" w:cs="Times New Roman"/>
          <w:lang w:val="en-US" w:eastAsia="zh-CN"/>
        </w:rPr>
        <w:t>在习总书记生态文明思想和</w:t>
      </w:r>
      <w:r>
        <w:rPr>
          <w:rFonts w:hint="eastAsia" w:ascii="Times New Roman" w:hAnsi="Times New Roman" w:cs="Times New Roman"/>
          <w:lang w:eastAsia="zh-CN"/>
        </w:rPr>
        <w:t>“双碳”目标</w:t>
      </w:r>
      <w:r>
        <w:rPr>
          <w:rFonts w:hint="eastAsia" w:ascii="Times New Roman" w:hAnsi="Times New Roman" w:cs="Times New Roman"/>
          <w:lang w:val="en-US" w:eastAsia="zh-CN"/>
        </w:rPr>
        <w:t>重大战略决策背景下</w:t>
      </w:r>
      <w:r>
        <w:rPr>
          <w:rFonts w:hint="eastAsia" w:ascii="Times New Roman" w:hAnsi="Times New Roman" w:cs="Times New Roman"/>
          <w:lang w:eastAsia="zh-CN"/>
        </w:rPr>
        <w:t>，中央及地方环保督查常态化</w:t>
      </w:r>
      <w:r>
        <w:rPr>
          <w:rFonts w:hint="eastAsia" w:ascii="Times New Roman" w:hAnsi="Times New Roman" w:cs="Times New Roman"/>
          <w:lang w:val="en-US" w:eastAsia="zh-CN"/>
        </w:rPr>
        <w:t>开展</w:t>
      </w:r>
      <w:r>
        <w:rPr>
          <w:rFonts w:hint="eastAsia" w:ascii="Times New Roman" w:hAnsi="Times New Roman" w:cs="Times New Roman"/>
          <w:lang w:eastAsia="zh-CN"/>
        </w:rPr>
        <w:t>，港口行业面临生态环境约束趋紧、污染防治标准升级的双重挑战，环境保护已成为制约</w:t>
      </w:r>
      <w:r>
        <w:rPr>
          <w:rFonts w:hint="eastAsia" w:ascii="Times New Roman" w:hAnsi="Times New Roman" w:cs="Times New Roman"/>
          <w:lang w:val="en-US" w:eastAsia="zh-CN"/>
        </w:rPr>
        <w:t>港口企业</w:t>
      </w:r>
      <w:r>
        <w:rPr>
          <w:rFonts w:hint="eastAsia" w:ascii="Times New Roman" w:hAnsi="Times New Roman" w:cs="Times New Roman"/>
          <w:lang w:eastAsia="zh-CN"/>
        </w:rPr>
        <w:t>高质量发展的关键瓶颈。为</w:t>
      </w:r>
      <w:r>
        <w:rPr>
          <w:rFonts w:hint="eastAsia" w:ascii="Times New Roman" w:hAnsi="Times New Roman" w:cs="Times New Roman"/>
          <w:lang w:val="en-US" w:eastAsia="zh-CN"/>
        </w:rPr>
        <w:t>响应国家</w:t>
      </w:r>
      <w:r>
        <w:rPr>
          <w:rFonts w:hint="eastAsia" w:ascii="Times New Roman" w:hAnsi="Times New Roman" w:cs="Times New Roman"/>
          <w:lang w:eastAsia="zh-CN"/>
        </w:rPr>
        <w:t>政策要求，将绿色、生态、低碳理念融入</w:t>
      </w:r>
      <w:r>
        <w:rPr>
          <w:rFonts w:hint="eastAsia" w:ascii="Times New Roman" w:hAnsi="Times New Roman" w:cs="Times New Roman"/>
          <w:lang w:val="en-US" w:eastAsia="zh-CN"/>
        </w:rPr>
        <w:t>港口生产运营全流程</w:t>
      </w:r>
      <w:r>
        <w:rPr>
          <w:rFonts w:hint="eastAsia" w:ascii="Times New Roman" w:hAnsi="Times New Roman" w:cs="Times New Roman"/>
          <w:lang w:eastAsia="zh-CN"/>
        </w:rPr>
        <w:t>，天科院环境科技发展（天津）有限公司联合天津港股份有限公司，以</w:t>
      </w:r>
      <w:r>
        <w:rPr>
          <w:rFonts w:hint="eastAsia" w:ascii="Times New Roman" w:hAnsi="Times New Roman" w:cs="Times New Roman"/>
          <w:lang w:val="en-US" w:eastAsia="zh-CN"/>
        </w:rPr>
        <w:t>干散货港口颗粒物</w:t>
      </w:r>
      <w:r>
        <w:rPr>
          <w:rFonts w:hint="eastAsia" w:ascii="Times New Roman" w:hAnsi="Times New Roman" w:cs="Times New Roman"/>
          <w:lang w:eastAsia="zh-CN"/>
        </w:rPr>
        <w:t>精细化管控为导向，牵头起草《干散货港口颗粒物精细化管控技术规范》团体标准，旨在构建</w:t>
      </w:r>
      <w:r>
        <w:rPr>
          <w:rFonts w:hint="eastAsia" w:ascii="Times New Roman" w:hAnsi="Times New Roman" w:cs="Times New Roman"/>
          <w:lang w:val="en-US" w:eastAsia="zh-CN"/>
        </w:rPr>
        <w:t>干散货港口运营期</w:t>
      </w:r>
      <w:r>
        <w:rPr>
          <w:rFonts w:hint="eastAsia" w:ascii="Times New Roman" w:hAnsi="Times New Roman" w:cs="Times New Roman"/>
          <w:lang w:eastAsia="zh-CN"/>
        </w:rPr>
        <w:t>全链条</w:t>
      </w:r>
      <w:r>
        <w:rPr>
          <w:rFonts w:hint="eastAsia" w:ascii="Times New Roman" w:hAnsi="Times New Roman" w:cs="Times New Roman"/>
          <w:lang w:val="en-US" w:eastAsia="zh-CN"/>
        </w:rPr>
        <w:t>颗粒物污染</w:t>
      </w:r>
      <w:r>
        <w:rPr>
          <w:rFonts w:hint="eastAsia" w:ascii="Times New Roman" w:hAnsi="Times New Roman" w:cs="Times New Roman"/>
          <w:lang w:eastAsia="zh-CN"/>
        </w:rPr>
        <w:t>治理体系，推动港口企业落实环保主体责任，助力行业绿色低碳转型与可持续发展。</w:t>
      </w:r>
    </w:p>
    <w:p w14:paraId="524D82E1">
      <w:pPr>
        <w:spacing w:before="240" w:after="240"/>
        <w:ind w:left="607"/>
        <w:rPr>
          <w:rFonts w:ascii="Times New Roman" w:hAnsi="Times New Roman" w:cs="Times New Roman"/>
          <w:b/>
          <w:sz w:val="24"/>
          <w:szCs w:val="24"/>
          <w:lang w:eastAsia="zh-CN"/>
        </w:rPr>
      </w:pPr>
      <w:r>
        <w:rPr>
          <w:rFonts w:ascii="Times New Roman" w:hAnsi="Times New Roman" w:cs="Times New Roman"/>
          <w:b/>
          <w:sz w:val="24"/>
          <w:szCs w:val="24"/>
          <w:lang w:eastAsia="zh-CN"/>
        </w:rPr>
        <w:t>（二）起草单位</w:t>
      </w:r>
    </w:p>
    <w:p w14:paraId="15D892E9">
      <w:pPr>
        <w:pStyle w:val="6"/>
        <w:spacing w:line="362" w:lineRule="auto"/>
        <w:ind w:left="609" w:right="632" w:firstLine="480"/>
        <w:jc w:val="both"/>
        <w:rPr>
          <w:rFonts w:ascii="Times New Roman" w:hAnsi="Times New Roman" w:cs="Times New Roman"/>
          <w:lang w:eastAsia="zh-CN"/>
        </w:rPr>
      </w:pPr>
      <w:r>
        <w:rPr>
          <w:rFonts w:ascii="Times New Roman" w:hAnsi="Times New Roman" w:cs="Times New Roman"/>
          <w:lang w:eastAsia="zh-CN"/>
        </w:rPr>
        <w:t>标准编写主要由天科院环境科技发展（天津）有限公司负责，协作单位主要为天津港</w:t>
      </w:r>
      <w:r>
        <w:rPr>
          <w:rFonts w:hint="eastAsia" w:ascii="Times New Roman" w:hAnsi="Times New Roman" w:cs="Times New Roman"/>
          <w:lang w:eastAsia="zh-CN"/>
        </w:rPr>
        <w:t>股份</w:t>
      </w:r>
      <w:r>
        <w:rPr>
          <w:rFonts w:ascii="Times New Roman" w:hAnsi="Times New Roman" w:cs="Times New Roman"/>
          <w:lang w:eastAsia="zh-CN"/>
        </w:rPr>
        <w:t>有限公司。</w:t>
      </w:r>
    </w:p>
    <w:p w14:paraId="59487930">
      <w:pPr>
        <w:spacing w:before="240" w:after="240"/>
        <w:ind w:left="607"/>
        <w:rPr>
          <w:rFonts w:ascii="Times New Roman" w:hAnsi="Times New Roman" w:cs="Times New Roman"/>
          <w:b/>
          <w:sz w:val="24"/>
          <w:szCs w:val="24"/>
          <w:lang w:eastAsia="zh-CN"/>
        </w:rPr>
      </w:pPr>
      <w:r>
        <w:rPr>
          <w:rFonts w:ascii="Times New Roman" w:hAnsi="Times New Roman" w:cs="Times New Roman"/>
          <w:b/>
          <w:sz w:val="24"/>
          <w:szCs w:val="24"/>
          <w:lang w:eastAsia="zh-CN"/>
        </w:rPr>
        <w:t>（三）主要起草人及其所做的工作</w:t>
      </w:r>
    </w:p>
    <w:p w14:paraId="3C0F3AF4">
      <w:pPr>
        <w:pStyle w:val="6"/>
        <w:spacing w:line="362" w:lineRule="auto"/>
        <w:ind w:left="609" w:right="632" w:firstLine="480"/>
        <w:jc w:val="both"/>
        <w:rPr>
          <w:rFonts w:ascii="Times New Roman" w:hAnsi="Times New Roman" w:cs="Times New Roman"/>
          <w:lang w:eastAsia="zh-CN"/>
        </w:rPr>
      </w:pPr>
      <w:r>
        <w:rPr>
          <w:rFonts w:ascii="Times New Roman" w:hAnsi="Times New Roman" w:cs="Times New Roman"/>
          <w:lang w:eastAsia="zh-CN"/>
        </w:rPr>
        <w:t>标准主要起草人：</w:t>
      </w:r>
      <w:r>
        <w:rPr>
          <w:rFonts w:hint="eastAsia"/>
        </w:rPr>
        <w:t>王清彪、陈涛、梁岑、刘峰、井亮、范景民、杨忠、白璐、杨成良、刘筱萌、刘川、姜涛、</w:t>
      </w:r>
      <w:r>
        <w:rPr>
          <w:rFonts w:hint="eastAsia"/>
          <w:lang w:val="en-US" w:eastAsia="zh-CN"/>
        </w:rPr>
        <w:t>卢丹</w:t>
      </w:r>
      <w:r>
        <w:rPr>
          <w:rFonts w:hint="eastAsia"/>
        </w:rPr>
        <w:t>、于立臣、祁日强、赵俊</w:t>
      </w:r>
      <w:r>
        <w:rPr>
          <w:rFonts w:hint="eastAsia" w:ascii="Times New Roman" w:hAnsi="Times New Roman" w:cs="Times New Roman"/>
          <w:lang w:eastAsia="zh-CN"/>
        </w:rPr>
        <w:t>。</w:t>
      </w:r>
    </w:p>
    <w:p w14:paraId="0CB5F86A">
      <w:pPr>
        <w:spacing w:before="240" w:after="240"/>
        <w:ind w:left="607"/>
        <w:rPr>
          <w:rFonts w:ascii="Times New Roman" w:hAnsi="Times New Roman" w:cs="Times New Roman"/>
          <w:b/>
          <w:sz w:val="24"/>
          <w:szCs w:val="24"/>
          <w:lang w:eastAsia="zh-CN"/>
        </w:rPr>
      </w:pPr>
      <w:r>
        <w:rPr>
          <w:rFonts w:ascii="Times New Roman" w:hAnsi="Times New Roman" w:cs="Times New Roman"/>
          <w:b/>
          <w:sz w:val="24"/>
          <w:szCs w:val="24"/>
          <w:lang w:eastAsia="zh-CN"/>
        </w:rPr>
        <w:t>（四）主要工作过程</w:t>
      </w:r>
    </w:p>
    <w:p w14:paraId="04B098E9">
      <w:pPr>
        <w:pStyle w:val="6"/>
        <w:spacing w:line="362" w:lineRule="auto"/>
        <w:ind w:left="609" w:right="632" w:firstLine="480"/>
        <w:jc w:val="both"/>
        <w:rPr>
          <w:rFonts w:hint="eastAsia" w:ascii="Times New Roman" w:hAnsi="Times New Roman" w:cs="Times New Roman"/>
          <w:lang w:eastAsia="zh-CN"/>
        </w:rPr>
      </w:pPr>
      <w:r>
        <w:rPr>
          <w:rFonts w:hint="eastAsia" w:ascii="Times New Roman" w:hAnsi="Times New Roman" w:cs="Times New Roman"/>
          <w:lang w:eastAsia="zh-CN"/>
        </w:rPr>
        <w:t>202</w:t>
      </w:r>
      <w:r>
        <w:rPr>
          <w:rFonts w:hint="eastAsia" w:ascii="Times New Roman" w:hAnsi="Times New Roman" w:cs="Times New Roman"/>
          <w:lang w:val="en-US" w:eastAsia="zh-CN"/>
        </w:rPr>
        <w:t xml:space="preserve">5 </w:t>
      </w:r>
      <w:r>
        <w:rPr>
          <w:rFonts w:hint="eastAsia" w:ascii="Times New Roman" w:hAnsi="Times New Roman" w:cs="Times New Roman"/>
          <w:lang w:eastAsia="zh-CN"/>
        </w:rPr>
        <w:t xml:space="preserve">年 </w:t>
      </w:r>
      <w:r>
        <w:rPr>
          <w:rFonts w:hint="eastAsia" w:ascii="Times New Roman" w:hAnsi="Times New Roman" w:cs="Times New Roman"/>
          <w:lang w:val="en-US" w:eastAsia="zh-CN"/>
        </w:rPr>
        <w:t xml:space="preserve">2 </w:t>
      </w:r>
      <w:r>
        <w:rPr>
          <w:rFonts w:hint="eastAsia" w:ascii="Times New Roman" w:hAnsi="Times New Roman" w:cs="Times New Roman"/>
          <w:lang w:eastAsia="zh-CN"/>
        </w:rPr>
        <w:t>月，项目承担单位成立编制组，明确了标准编写任务分工和时间进度安排，组织开展标准制定工作：</w:t>
      </w:r>
    </w:p>
    <w:p w14:paraId="5BCA889A">
      <w:pPr>
        <w:pStyle w:val="6"/>
        <w:spacing w:line="362" w:lineRule="auto"/>
        <w:ind w:left="609" w:right="632" w:firstLine="480"/>
        <w:jc w:val="both"/>
        <w:rPr>
          <w:rFonts w:hint="eastAsia" w:ascii="Times New Roman" w:hAnsi="Times New Roman" w:cs="Times New Roman"/>
          <w:lang w:eastAsia="zh-CN"/>
        </w:rPr>
      </w:pPr>
      <w:r>
        <w:rPr>
          <w:rFonts w:hint="eastAsia" w:ascii="Times New Roman" w:hAnsi="Times New Roman" w:cs="Times New Roman"/>
          <w:lang w:eastAsia="zh-CN"/>
        </w:rPr>
        <w:t>1、202</w:t>
      </w:r>
      <w:r>
        <w:rPr>
          <w:rFonts w:hint="eastAsia" w:ascii="Times New Roman" w:hAnsi="Times New Roman" w:cs="Times New Roman"/>
          <w:lang w:val="en-US" w:eastAsia="zh-CN"/>
        </w:rPr>
        <w:t>5</w:t>
      </w:r>
      <w:r>
        <w:rPr>
          <w:rFonts w:hint="eastAsia" w:ascii="Times New Roman" w:hAnsi="Times New Roman" w:cs="Times New Roman"/>
          <w:lang w:eastAsia="zh-CN"/>
        </w:rPr>
        <w:t xml:space="preserve"> 年</w:t>
      </w:r>
      <w:r>
        <w:rPr>
          <w:rFonts w:hint="eastAsia" w:ascii="Times New Roman" w:hAnsi="Times New Roman" w:cs="Times New Roman"/>
          <w:lang w:val="en-US" w:eastAsia="zh-CN"/>
        </w:rPr>
        <w:t xml:space="preserve"> 3</w:t>
      </w:r>
      <w:r>
        <w:rPr>
          <w:rFonts w:hint="eastAsia" w:ascii="Times New Roman" w:hAnsi="Times New Roman" w:cs="Times New Roman"/>
          <w:lang w:eastAsia="zh-CN"/>
        </w:rPr>
        <w:t>月</w:t>
      </w:r>
      <w:r>
        <w:rPr>
          <w:rFonts w:hint="eastAsia" w:ascii="Times New Roman" w:hAnsi="Times New Roman" w:cs="Times New Roman"/>
          <w:lang w:val="en-US" w:eastAsia="zh-CN"/>
        </w:rPr>
        <w:t>~2025 年 5月</w:t>
      </w:r>
      <w:r>
        <w:rPr>
          <w:rFonts w:hint="eastAsia" w:ascii="Times New Roman" w:hAnsi="Times New Roman" w:cs="Times New Roman"/>
          <w:lang w:eastAsia="zh-CN"/>
        </w:rPr>
        <w:t>，开展全国范围内开展港口环保问题调研工作，包括</w:t>
      </w:r>
      <w:r>
        <w:rPr>
          <w:rFonts w:hint="eastAsia" w:ascii="Times New Roman" w:hAnsi="Times New Roman" w:cs="Times New Roman"/>
          <w:lang w:val="en-US" w:eastAsia="zh-CN"/>
        </w:rPr>
        <w:t>大连港、营口港、唐山港、黄骅港、秦皇岛港、</w:t>
      </w:r>
      <w:r>
        <w:rPr>
          <w:rFonts w:hint="eastAsia" w:ascii="Times New Roman" w:hAnsi="Times New Roman" w:cs="Times New Roman"/>
          <w:lang w:eastAsia="zh-CN"/>
        </w:rPr>
        <w:t>日照港</w:t>
      </w:r>
      <w:r>
        <w:rPr>
          <w:rFonts w:hint="eastAsia" w:ascii="Times New Roman" w:hAnsi="Times New Roman" w:cs="Times New Roman"/>
          <w:lang w:val="en-US" w:eastAsia="zh-CN"/>
        </w:rPr>
        <w:t>等</w:t>
      </w:r>
      <w:r>
        <w:rPr>
          <w:rFonts w:hint="eastAsia" w:ascii="Times New Roman" w:hAnsi="Times New Roman" w:cs="Times New Roman"/>
          <w:lang w:eastAsia="zh-CN"/>
        </w:rPr>
        <w:t>沿海港口及</w:t>
      </w:r>
      <w:r>
        <w:rPr>
          <w:rFonts w:hint="eastAsia" w:ascii="Times New Roman" w:hAnsi="Times New Roman" w:cs="Times New Roman"/>
          <w:lang w:val="en-US" w:eastAsia="zh-CN"/>
        </w:rPr>
        <w:t>浙江杭州、嘉兴、绍兴、湖州、台州、温州和</w:t>
      </w:r>
      <w:r>
        <w:rPr>
          <w:rFonts w:hint="eastAsia" w:ascii="Times New Roman" w:hAnsi="Times New Roman" w:cs="Times New Roman"/>
          <w:lang w:eastAsia="zh-CN"/>
        </w:rPr>
        <w:t>江苏镇江等内河港口码头，对干散货</w:t>
      </w:r>
      <w:r>
        <w:rPr>
          <w:rFonts w:hint="eastAsia" w:ascii="Times New Roman" w:hAnsi="Times New Roman" w:cs="Times New Roman"/>
          <w:lang w:val="en-US" w:eastAsia="zh-CN"/>
        </w:rPr>
        <w:t>港口颗粒物</w:t>
      </w:r>
      <w:r>
        <w:rPr>
          <w:rFonts w:hint="eastAsia" w:ascii="Times New Roman" w:hAnsi="Times New Roman" w:cs="Times New Roman"/>
          <w:lang w:eastAsia="zh-CN"/>
        </w:rPr>
        <w:t>污染现状进行全面调研。</w:t>
      </w:r>
    </w:p>
    <w:p w14:paraId="3D6093CE">
      <w:pPr>
        <w:pStyle w:val="6"/>
        <w:spacing w:line="362" w:lineRule="auto"/>
        <w:ind w:left="609" w:right="632" w:firstLine="480"/>
        <w:jc w:val="both"/>
        <w:rPr>
          <w:rFonts w:hint="eastAsia" w:ascii="Times New Roman" w:hAnsi="Times New Roman" w:cs="Times New Roman"/>
          <w:lang w:eastAsia="zh-CN"/>
        </w:rPr>
      </w:pPr>
      <w:r>
        <w:rPr>
          <w:rFonts w:hint="eastAsia" w:ascii="Times New Roman" w:hAnsi="Times New Roman" w:cs="Times New Roman"/>
          <w:lang w:eastAsia="zh-CN"/>
        </w:rPr>
        <w:t>2、202</w:t>
      </w:r>
      <w:r>
        <w:rPr>
          <w:rFonts w:hint="eastAsia" w:ascii="Times New Roman" w:hAnsi="Times New Roman" w:cs="Times New Roman"/>
          <w:lang w:val="en-US" w:eastAsia="zh-CN"/>
        </w:rPr>
        <w:t>5</w:t>
      </w:r>
      <w:r>
        <w:rPr>
          <w:rFonts w:hint="eastAsia" w:ascii="Times New Roman" w:hAnsi="Times New Roman" w:cs="Times New Roman"/>
          <w:lang w:eastAsia="zh-CN"/>
        </w:rPr>
        <w:t xml:space="preserve"> 年</w:t>
      </w:r>
      <w:r>
        <w:rPr>
          <w:rFonts w:hint="eastAsia" w:ascii="Times New Roman" w:hAnsi="Times New Roman" w:cs="Times New Roman"/>
          <w:lang w:val="en-US" w:eastAsia="zh-CN"/>
        </w:rPr>
        <w:t xml:space="preserve"> 6</w:t>
      </w:r>
      <w:r>
        <w:rPr>
          <w:rFonts w:hint="eastAsia" w:ascii="Times New Roman" w:hAnsi="Times New Roman" w:cs="Times New Roman"/>
          <w:lang w:eastAsia="zh-CN"/>
        </w:rPr>
        <w:t>月， 梳理现行法律法规、标准规范及政策性文件，明确对于干散货</w:t>
      </w:r>
      <w:r>
        <w:rPr>
          <w:rFonts w:hint="eastAsia" w:ascii="Times New Roman" w:hAnsi="Times New Roman" w:cs="Times New Roman"/>
          <w:lang w:val="en-US" w:eastAsia="zh-CN"/>
        </w:rPr>
        <w:t>港口</w:t>
      </w:r>
      <w:r>
        <w:rPr>
          <w:rFonts w:hint="eastAsia" w:ascii="Times New Roman" w:hAnsi="Times New Roman" w:cs="Times New Roman"/>
          <w:lang w:eastAsia="zh-CN"/>
        </w:rPr>
        <w:t>动态作业与静态堆存</w:t>
      </w:r>
      <w:r>
        <w:rPr>
          <w:rFonts w:hint="eastAsia" w:ascii="Times New Roman" w:hAnsi="Times New Roman" w:cs="Times New Roman"/>
          <w:lang w:val="en-US" w:eastAsia="zh-CN"/>
        </w:rPr>
        <w:t>颗粒物</w:t>
      </w:r>
      <w:r>
        <w:rPr>
          <w:rFonts w:hint="eastAsia" w:ascii="Times New Roman" w:hAnsi="Times New Roman" w:cs="Times New Roman"/>
          <w:lang w:eastAsia="zh-CN"/>
        </w:rPr>
        <w:t>污染管控要求。结合针对干散货港口码头企业的现场调研及其提供的相关环保资料，识别干散货</w:t>
      </w:r>
      <w:r>
        <w:rPr>
          <w:rFonts w:hint="eastAsia" w:ascii="Times New Roman" w:hAnsi="Times New Roman" w:cs="Times New Roman"/>
          <w:lang w:val="en-US" w:eastAsia="zh-CN"/>
        </w:rPr>
        <w:t>港口颗粒物</w:t>
      </w:r>
      <w:r>
        <w:rPr>
          <w:rFonts w:hint="eastAsia" w:ascii="Times New Roman" w:hAnsi="Times New Roman" w:cs="Times New Roman"/>
          <w:lang w:eastAsia="zh-CN"/>
        </w:rPr>
        <w:t>污染排放节点，分析现有治理措施与管理手段的有效性。</w:t>
      </w:r>
    </w:p>
    <w:p w14:paraId="26316226">
      <w:pPr>
        <w:pStyle w:val="6"/>
        <w:spacing w:line="362" w:lineRule="auto"/>
        <w:ind w:left="609" w:right="632" w:firstLine="480"/>
        <w:jc w:val="both"/>
        <w:rPr>
          <w:rFonts w:hint="eastAsia" w:ascii="Times New Roman" w:hAnsi="Times New Roman" w:cs="Times New Roman"/>
          <w:lang w:val="en-US" w:eastAsia="zh-CN"/>
        </w:rPr>
      </w:pPr>
      <w:r>
        <w:rPr>
          <w:rFonts w:hint="eastAsia" w:ascii="Times New Roman" w:hAnsi="Times New Roman" w:cs="Times New Roman"/>
          <w:lang w:val="en-US" w:eastAsia="zh-CN"/>
        </w:rPr>
        <w:t>3</w:t>
      </w:r>
      <w:r>
        <w:rPr>
          <w:rFonts w:hint="eastAsia" w:ascii="Times New Roman" w:hAnsi="Times New Roman" w:cs="Times New Roman"/>
          <w:lang w:eastAsia="zh-CN"/>
        </w:rPr>
        <w:t>、202</w:t>
      </w:r>
      <w:r>
        <w:rPr>
          <w:rFonts w:hint="eastAsia" w:ascii="Times New Roman" w:hAnsi="Times New Roman" w:cs="Times New Roman"/>
          <w:lang w:val="en-US" w:eastAsia="zh-CN"/>
        </w:rPr>
        <w:t xml:space="preserve">5 </w:t>
      </w:r>
      <w:r>
        <w:rPr>
          <w:rFonts w:hint="eastAsia" w:ascii="Times New Roman" w:hAnsi="Times New Roman" w:cs="Times New Roman"/>
          <w:lang w:eastAsia="zh-CN"/>
        </w:rPr>
        <w:t>年</w:t>
      </w:r>
      <w:r>
        <w:rPr>
          <w:rFonts w:hint="eastAsia" w:ascii="Times New Roman" w:hAnsi="Times New Roman" w:cs="Times New Roman"/>
          <w:lang w:val="en-US" w:eastAsia="zh-CN"/>
        </w:rPr>
        <w:t xml:space="preserve"> 7</w:t>
      </w:r>
      <w:r>
        <w:rPr>
          <w:rFonts w:hint="eastAsia" w:ascii="Times New Roman" w:hAnsi="Times New Roman" w:cs="Times New Roman"/>
          <w:lang w:eastAsia="zh-CN"/>
        </w:rPr>
        <w:t>月</w:t>
      </w:r>
      <w:r>
        <w:rPr>
          <w:rFonts w:hint="eastAsia" w:ascii="Times New Roman" w:hAnsi="Times New Roman" w:cs="Times New Roman"/>
          <w:lang w:val="en-US" w:eastAsia="zh-CN"/>
        </w:rPr>
        <w:t>~8月</w:t>
      </w:r>
      <w:r>
        <w:rPr>
          <w:rFonts w:hint="eastAsia" w:ascii="Times New Roman" w:hAnsi="Times New Roman" w:cs="Times New Roman"/>
          <w:lang w:eastAsia="zh-CN"/>
        </w:rPr>
        <w:t>，</w:t>
      </w:r>
      <w:r>
        <w:rPr>
          <w:rFonts w:hint="eastAsia" w:ascii="Times New Roman" w:hAnsi="Times New Roman" w:cs="Times New Roman"/>
          <w:lang w:val="en-US" w:eastAsia="zh-CN"/>
        </w:rPr>
        <w:t>编制</w:t>
      </w:r>
      <w:r>
        <w:rPr>
          <w:rFonts w:hint="eastAsia" w:ascii="Times New Roman" w:hAnsi="Times New Roman" w:cs="Times New Roman"/>
          <w:lang w:eastAsia="zh-CN"/>
        </w:rPr>
        <w:t>标准</w:t>
      </w:r>
      <w:r>
        <w:rPr>
          <w:rFonts w:hint="eastAsia" w:ascii="Times New Roman" w:hAnsi="Times New Roman" w:cs="Times New Roman"/>
          <w:lang w:val="en-US" w:eastAsia="zh-CN"/>
        </w:rPr>
        <w:t>大纲。</w:t>
      </w:r>
    </w:p>
    <w:p w14:paraId="3A0BC513">
      <w:pPr>
        <w:pStyle w:val="6"/>
        <w:spacing w:line="362" w:lineRule="auto"/>
        <w:ind w:left="609" w:right="632" w:firstLine="480"/>
        <w:jc w:val="both"/>
        <w:rPr>
          <w:rFonts w:hint="default" w:ascii="Times New Roman" w:hAnsi="Times New Roman" w:cs="Times New Roman"/>
          <w:lang w:val="en-US" w:eastAsia="zh-CN"/>
        </w:rPr>
      </w:pPr>
      <w:r>
        <w:rPr>
          <w:rFonts w:hint="eastAsia" w:ascii="Times New Roman" w:hAnsi="Times New Roman" w:cs="Times New Roman"/>
          <w:lang w:val="en-US" w:eastAsia="zh-CN"/>
        </w:rPr>
        <w:t>4</w:t>
      </w:r>
      <w:r>
        <w:rPr>
          <w:rFonts w:hint="eastAsia" w:ascii="Times New Roman" w:hAnsi="Times New Roman" w:cs="Times New Roman"/>
          <w:lang w:eastAsia="zh-CN"/>
        </w:rPr>
        <w:t>、202</w:t>
      </w:r>
      <w:r>
        <w:rPr>
          <w:rFonts w:hint="eastAsia" w:ascii="Times New Roman" w:hAnsi="Times New Roman" w:cs="Times New Roman"/>
          <w:lang w:val="en-US" w:eastAsia="zh-CN"/>
        </w:rPr>
        <w:t xml:space="preserve">5 </w:t>
      </w:r>
      <w:r>
        <w:rPr>
          <w:rFonts w:hint="eastAsia" w:ascii="Times New Roman" w:hAnsi="Times New Roman" w:cs="Times New Roman"/>
          <w:lang w:eastAsia="zh-CN"/>
        </w:rPr>
        <w:t>年</w:t>
      </w:r>
      <w:r>
        <w:rPr>
          <w:rFonts w:hint="eastAsia" w:ascii="Times New Roman" w:hAnsi="Times New Roman" w:cs="Times New Roman"/>
          <w:lang w:val="en-US" w:eastAsia="zh-CN"/>
        </w:rPr>
        <w:t>9</w:t>
      </w:r>
      <w:r>
        <w:rPr>
          <w:rFonts w:hint="eastAsia" w:ascii="Times New Roman" w:hAnsi="Times New Roman" w:cs="Times New Roman"/>
          <w:lang w:eastAsia="zh-CN"/>
        </w:rPr>
        <w:t>月</w:t>
      </w:r>
      <w:r>
        <w:rPr>
          <w:rFonts w:hint="eastAsia" w:ascii="Times New Roman" w:hAnsi="Times New Roman" w:cs="Times New Roman"/>
          <w:lang w:val="en-US" w:eastAsia="zh-CN"/>
        </w:rPr>
        <w:t>~10月</w:t>
      </w:r>
      <w:r>
        <w:rPr>
          <w:rFonts w:hint="eastAsia" w:ascii="Times New Roman" w:hAnsi="Times New Roman" w:cs="Times New Roman"/>
          <w:lang w:eastAsia="zh-CN"/>
        </w:rPr>
        <w:t>，</w:t>
      </w:r>
      <w:r>
        <w:rPr>
          <w:rFonts w:hint="eastAsia" w:ascii="Times New Roman" w:hAnsi="Times New Roman" w:cs="Times New Roman"/>
          <w:lang w:val="en-US" w:eastAsia="zh-CN"/>
        </w:rPr>
        <w:t>组织开展第二轮调研工作，包括浙江宁波、舟山和江苏连云港等。</w:t>
      </w:r>
    </w:p>
    <w:p w14:paraId="79EE9DC0">
      <w:pPr>
        <w:pStyle w:val="6"/>
        <w:spacing w:line="362" w:lineRule="auto"/>
        <w:ind w:left="609" w:right="632" w:firstLine="480"/>
        <w:jc w:val="both"/>
        <w:rPr>
          <w:rFonts w:hint="eastAsia" w:ascii="Times New Roman" w:hAnsi="Times New Roman" w:cs="Times New Roman"/>
          <w:lang w:eastAsia="zh-CN"/>
        </w:rPr>
      </w:pPr>
      <w:r>
        <w:rPr>
          <w:rFonts w:hint="eastAsia" w:ascii="Times New Roman" w:hAnsi="Times New Roman" w:cs="Times New Roman"/>
          <w:lang w:val="en-US" w:eastAsia="zh-CN"/>
        </w:rPr>
        <w:t>5、2025年11月~12月，完成标准</w:t>
      </w:r>
      <w:r>
        <w:rPr>
          <w:rFonts w:hint="eastAsia" w:ascii="Times New Roman" w:hAnsi="Times New Roman" w:cs="Times New Roman"/>
          <w:lang w:eastAsia="zh-CN"/>
        </w:rPr>
        <w:t>草案与编制说明文件的编制，通过</w:t>
      </w:r>
      <w:r>
        <w:rPr>
          <w:rFonts w:hint="eastAsia" w:ascii="Times New Roman" w:hAnsi="Times New Roman" w:cs="Times New Roman"/>
          <w:lang w:val="en-US" w:eastAsia="zh-CN"/>
        </w:rPr>
        <w:t>中华环保联合会</w:t>
      </w:r>
      <w:r>
        <w:rPr>
          <w:rFonts w:hint="eastAsia" w:ascii="Times New Roman" w:hAnsi="Times New Roman" w:cs="Times New Roman"/>
          <w:lang w:eastAsia="zh-CN"/>
        </w:rPr>
        <w:t>组织的专家审查予以立项。</w:t>
      </w:r>
    </w:p>
    <w:p w14:paraId="54403F09">
      <w:pPr>
        <w:pStyle w:val="6"/>
        <w:spacing w:line="362" w:lineRule="auto"/>
        <w:ind w:left="609" w:right="632" w:firstLine="480"/>
        <w:jc w:val="both"/>
        <w:rPr>
          <w:rFonts w:hint="default" w:ascii="Times New Roman" w:hAnsi="Times New Roman" w:cs="Times New Roman"/>
          <w:lang w:val="en-US" w:eastAsia="zh-CN"/>
        </w:rPr>
      </w:pPr>
      <w:r>
        <w:rPr>
          <w:rFonts w:hint="eastAsia" w:ascii="Times New Roman" w:hAnsi="Times New Roman" w:cs="Times New Roman"/>
          <w:lang w:val="en-US" w:eastAsia="zh-CN"/>
        </w:rPr>
        <w:t>6、2026年4月8日，参加中华环保联合会</w:t>
      </w:r>
      <w:r>
        <w:rPr>
          <w:rFonts w:hint="eastAsia" w:ascii="Times New Roman" w:hAnsi="Times New Roman" w:cs="Times New Roman"/>
          <w:lang w:eastAsia="zh-CN"/>
        </w:rPr>
        <w:t>组织的</w:t>
      </w:r>
      <w:r>
        <w:rPr>
          <w:rFonts w:hint="eastAsia" w:ascii="Times New Roman" w:hAnsi="Times New Roman" w:cs="Times New Roman"/>
          <w:lang w:val="en-US" w:eastAsia="zh-CN"/>
        </w:rPr>
        <w:t>标准</w:t>
      </w:r>
      <w:r>
        <w:rPr>
          <w:rFonts w:hint="eastAsia" w:ascii="Times New Roman" w:hAnsi="Times New Roman" w:cs="Times New Roman"/>
          <w:lang w:eastAsia="zh-CN"/>
        </w:rPr>
        <w:t>审查</w:t>
      </w:r>
      <w:r>
        <w:rPr>
          <w:rFonts w:hint="eastAsia" w:ascii="Times New Roman" w:hAnsi="Times New Roman" w:cs="Times New Roman"/>
          <w:lang w:val="en-US" w:eastAsia="zh-CN"/>
        </w:rPr>
        <w:t>会，根据评审意见修改标准草案和编制说明，形成标准征求意见稿，公开征求意见。</w:t>
      </w:r>
    </w:p>
    <w:p w14:paraId="7D40DAC7">
      <w:pPr>
        <w:pStyle w:val="6"/>
        <w:spacing w:line="362" w:lineRule="auto"/>
        <w:ind w:left="609" w:right="632" w:firstLine="480"/>
        <w:jc w:val="both"/>
        <w:rPr>
          <w:rFonts w:hint="eastAsia" w:ascii="Times New Roman" w:hAnsi="Times New Roman" w:cs="Times New Roman"/>
          <w:lang w:val="en-US" w:eastAsia="zh-CN"/>
        </w:rPr>
      </w:pPr>
      <w:r>
        <w:rPr>
          <w:rFonts w:hint="eastAsia" w:ascii="Times New Roman" w:hAnsi="Times New Roman" w:cs="Times New Roman"/>
          <w:lang w:val="en-US" w:eastAsia="zh-CN"/>
        </w:rPr>
        <w:t>7、2026年5月，收集并汇总意见，根据意见进行标准和编制说明修改，并通过中华环保联合会</w:t>
      </w:r>
      <w:r>
        <w:rPr>
          <w:rFonts w:hint="eastAsia" w:ascii="Times New Roman" w:hAnsi="Times New Roman" w:cs="Times New Roman"/>
          <w:lang w:eastAsia="zh-CN"/>
        </w:rPr>
        <w:t>组织的</w:t>
      </w:r>
      <w:r>
        <w:rPr>
          <w:rFonts w:hint="eastAsia" w:ascii="Times New Roman" w:hAnsi="Times New Roman" w:cs="Times New Roman"/>
          <w:lang w:val="en-US" w:eastAsia="zh-CN"/>
        </w:rPr>
        <w:t>审查会。</w:t>
      </w:r>
    </w:p>
    <w:p w14:paraId="52923B7E">
      <w:pPr>
        <w:pStyle w:val="6"/>
        <w:spacing w:line="362" w:lineRule="auto"/>
        <w:ind w:left="609" w:right="632" w:firstLine="480"/>
        <w:jc w:val="both"/>
        <w:rPr>
          <w:rFonts w:hint="default" w:ascii="Times New Roman" w:hAnsi="Times New Roman" w:cs="Times New Roman"/>
          <w:lang w:val="en-US" w:eastAsia="zh-CN"/>
        </w:rPr>
      </w:pPr>
      <w:r>
        <w:rPr>
          <w:rFonts w:hint="eastAsia" w:ascii="Times New Roman" w:hAnsi="Times New Roman" w:cs="Times New Roman"/>
          <w:lang w:val="en-US" w:eastAsia="zh-CN"/>
        </w:rPr>
        <w:t>8、2026年6月，标准发布。</w:t>
      </w:r>
      <w:bookmarkStart w:id="17" w:name="_GoBack"/>
      <w:bookmarkEnd w:id="17"/>
    </w:p>
    <w:p w14:paraId="73C02D14">
      <w:pPr>
        <w:pStyle w:val="2"/>
        <w:spacing w:before="240" w:afterLines="50"/>
        <w:ind w:left="607"/>
        <w:rPr>
          <w:rFonts w:ascii="Times New Roman" w:hAnsi="Times New Roman" w:eastAsia="黑体" w:cs="Times New Roman"/>
          <w:spacing w:val="-2"/>
          <w:sz w:val="28"/>
          <w:szCs w:val="28"/>
          <w:lang w:eastAsia="zh-CN"/>
        </w:rPr>
      </w:pPr>
      <w:bookmarkStart w:id="1" w:name="_Toc25749"/>
      <w:r>
        <w:rPr>
          <w:rFonts w:hint="eastAsia" w:ascii="Times New Roman" w:hAnsi="Times New Roman" w:eastAsia="黑体" w:cs="Times New Roman"/>
          <w:spacing w:val="-2"/>
          <w:sz w:val="28"/>
          <w:szCs w:val="28"/>
          <w:lang w:val="en-US" w:eastAsia="zh-CN"/>
        </w:rPr>
        <w:t>二</w:t>
      </w:r>
      <w:r>
        <w:rPr>
          <w:rFonts w:ascii="Times New Roman" w:hAnsi="Times New Roman" w:eastAsia="黑体" w:cs="Times New Roman"/>
          <w:spacing w:val="-2"/>
          <w:sz w:val="28"/>
          <w:szCs w:val="28"/>
          <w:lang w:eastAsia="zh-CN"/>
        </w:rPr>
        <w:t>、标准编制原则和确定标准主要内容的论据</w:t>
      </w:r>
      <w:bookmarkEnd w:id="1"/>
    </w:p>
    <w:p w14:paraId="0C25C623">
      <w:pPr>
        <w:spacing w:before="240" w:after="240"/>
        <w:ind w:left="607"/>
        <w:rPr>
          <w:rFonts w:ascii="Times New Roman" w:hAnsi="Times New Roman" w:cs="Times New Roman"/>
          <w:b/>
          <w:sz w:val="24"/>
          <w:szCs w:val="24"/>
          <w:lang w:eastAsia="zh-CN"/>
        </w:rPr>
      </w:pPr>
      <w:r>
        <w:rPr>
          <w:rFonts w:ascii="Times New Roman" w:hAnsi="Times New Roman" w:cs="Times New Roman"/>
          <w:b/>
          <w:sz w:val="24"/>
          <w:szCs w:val="24"/>
          <w:lang w:eastAsia="zh-CN"/>
        </w:rPr>
        <w:t>（一）标准编制原则</w:t>
      </w:r>
    </w:p>
    <w:p w14:paraId="48AB7CAA">
      <w:pPr>
        <w:pStyle w:val="6"/>
        <w:spacing w:line="362" w:lineRule="auto"/>
        <w:ind w:left="609" w:right="632" w:firstLine="480"/>
        <w:jc w:val="both"/>
        <w:rPr>
          <w:rFonts w:ascii="Times New Roman" w:hAnsi="Times New Roman" w:cs="Times New Roman"/>
          <w:lang w:eastAsia="zh-CN"/>
        </w:rPr>
      </w:pPr>
      <w:r>
        <w:rPr>
          <w:rFonts w:ascii="Times New Roman" w:hAnsi="Times New Roman" w:cs="Times New Roman"/>
          <w:spacing w:val="-10"/>
          <w:lang w:eastAsia="zh-CN"/>
        </w:rPr>
        <w:t>本</w:t>
      </w:r>
      <w:r>
        <w:rPr>
          <w:rFonts w:ascii="Times New Roman" w:hAnsi="Times New Roman" w:cs="Times New Roman"/>
          <w:lang w:eastAsia="zh-CN"/>
        </w:rPr>
        <w:t>文件按照 GB/T 1.1-2020《标准化工作导则 第 1 部分：标准化文件的结构和起草规则》的规定起草。</w:t>
      </w:r>
    </w:p>
    <w:p w14:paraId="04AB697F">
      <w:pPr>
        <w:pStyle w:val="6"/>
        <w:spacing w:line="362" w:lineRule="auto"/>
        <w:ind w:left="609" w:right="632" w:firstLine="480"/>
        <w:jc w:val="both"/>
        <w:rPr>
          <w:rFonts w:ascii="Times New Roman" w:hAnsi="Times New Roman" w:cs="Times New Roman"/>
          <w:lang w:eastAsia="zh-CN"/>
        </w:rPr>
      </w:pPr>
      <w:r>
        <w:rPr>
          <w:rFonts w:ascii="Times New Roman" w:hAnsi="Times New Roman" w:cs="Times New Roman"/>
          <w:lang w:eastAsia="zh-CN"/>
        </w:rPr>
        <w:t>适用性原则：标准制定的相关内容应便于使用，一方面应适于直接使用，另 一方面也应考虑便于被其它文件引用。</w:t>
      </w:r>
    </w:p>
    <w:p w14:paraId="346042EA">
      <w:pPr>
        <w:pStyle w:val="6"/>
        <w:spacing w:line="362" w:lineRule="auto"/>
        <w:ind w:left="609" w:right="632" w:firstLine="480"/>
        <w:jc w:val="both"/>
        <w:rPr>
          <w:rFonts w:ascii="Times New Roman" w:hAnsi="Times New Roman" w:cs="Times New Roman"/>
          <w:lang w:eastAsia="zh-CN"/>
        </w:rPr>
      </w:pPr>
      <w:r>
        <w:rPr>
          <w:rFonts w:ascii="Times New Roman" w:hAnsi="Times New Roman" w:cs="Times New Roman"/>
          <w:lang w:eastAsia="zh-CN"/>
        </w:rPr>
        <w:t>协调性原则：应考虑标准之间的整体协调，在制定标准时应注意和已经发布的标准进行协调，遵守基础标准和采取引用的方式是保证标准协调的有效途径。注重与现行的国际标准、国家标准、行业标准和团体标准相衔接，本文件中规定的术语</w:t>
      </w:r>
      <w:r>
        <w:rPr>
          <w:rFonts w:hint="eastAsia" w:ascii="Times New Roman" w:hAnsi="Times New Roman" w:cs="Times New Roman"/>
          <w:lang w:eastAsia="zh-CN"/>
        </w:rPr>
        <w:t>应</w:t>
      </w:r>
      <w:r>
        <w:rPr>
          <w:rFonts w:ascii="Times New Roman" w:hAnsi="Times New Roman" w:cs="Times New Roman"/>
          <w:lang w:eastAsia="zh-CN"/>
        </w:rPr>
        <w:t>与相应的国际标准和国家标准的规定相一致，不能存在矛盾。文件内容</w:t>
      </w:r>
      <w:r>
        <w:rPr>
          <w:rFonts w:hint="eastAsia" w:ascii="Times New Roman" w:hAnsi="Times New Roman" w:cs="Times New Roman"/>
          <w:lang w:eastAsia="zh-CN"/>
        </w:rPr>
        <w:t>应</w:t>
      </w:r>
      <w:r>
        <w:rPr>
          <w:rFonts w:ascii="Times New Roman" w:hAnsi="Times New Roman" w:cs="Times New Roman"/>
          <w:lang w:eastAsia="zh-CN"/>
        </w:rPr>
        <w:t>与国际标准、国家标准兼容，不能出现冲突。</w:t>
      </w:r>
    </w:p>
    <w:p w14:paraId="6785B9C5">
      <w:pPr>
        <w:pStyle w:val="6"/>
        <w:spacing w:line="362" w:lineRule="auto"/>
        <w:ind w:left="609" w:right="632" w:firstLine="480"/>
        <w:jc w:val="both"/>
        <w:rPr>
          <w:rFonts w:ascii="Times New Roman" w:hAnsi="Times New Roman" w:cs="Times New Roman"/>
          <w:lang w:eastAsia="zh-CN"/>
        </w:rPr>
      </w:pPr>
      <w:r>
        <w:rPr>
          <w:rFonts w:ascii="Times New Roman" w:hAnsi="Times New Roman" w:cs="Times New Roman"/>
          <w:lang w:eastAsia="zh-CN"/>
        </w:rPr>
        <w:t>规范性原则：起草标准时遵守与标准制定有关的基础标准和相关法律法规。</w:t>
      </w:r>
    </w:p>
    <w:p w14:paraId="71F01E3D">
      <w:pPr>
        <w:pStyle w:val="6"/>
        <w:spacing w:line="362" w:lineRule="auto"/>
        <w:ind w:left="609" w:right="632" w:firstLine="480"/>
        <w:jc w:val="both"/>
        <w:rPr>
          <w:rFonts w:ascii="Times New Roman" w:hAnsi="Times New Roman" w:cs="Times New Roman"/>
          <w:lang w:eastAsia="zh-CN"/>
        </w:rPr>
      </w:pPr>
      <w:r>
        <w:rPr>
          <w:rFonts w:ascii="Times New Roman" w:hAnsi="Times New Roman" w:cs="Times New Roman"/>
          <w:lang w:eastAsia="zh-CN"/>
        </w:rPr>
        <w:t>先进性原则：本文件规定的相关内容目的在于</w:t>
      </w:r>
      <w:r>
        <w:rPr>
          <w:rFonts w:hint="eastAsia" w:ascii="Times New Roman" w:hAnsi="Times New Roman" w:cs="Times New Roman"/>
          <w:lang w:eastAsia="zh-CN"/>
        </w:rPr>
        <w:t>构建干散货</w:t>
      </w:r>
      <w:r>
        <w:rPr>
          <w:rFonts w:hint="eastAsia" w:ascii="Times New Roman" w:hAnsi="Times New Roman" w:cs="Times New Roman"/>
          <w:lang w:val="en-US" w:eastAsia="zh-CN"/>
        </w:rPr>
        <w:t>港口</w:t>
      </w:r>
      <w:r>
        <w:rPr>
          <w:rFonts w:hint="eastAsia" w:ascii="Times New Roman" w:hAnsi="Times New Roman" w:cs="Times New Roman"/>
          <w:lang w:eastAsia="zh-CN"/>
        </w:rPr>
        <w:t>全作业流程</w:t>
      </w:r>
      <w:r>
        <w:rPr>
          <w:rFonts w:hint="eastAsia" w:ascii="Times New Roman" w:hAnsi="Times New Roman" w:cs="Times New Roman"/>
          <w:lang w:val="en-US" w:eastAsia="zh-CN"/>
        </w:rPr>
        <w:t>颗粒物</w:t>
      </w:r>
      <w:r>
        <w:rPr>
          <w:rFonts w:hint="eastAsia" w:ascii="Times New Roman" w:hAnsi="Times New Roman" w:cs="Times New Roman"/>
          <w:lang w:eastAsia="zh-CN"/>
        </w:rPr>
        <w:t>精细化管控体系</w:t>
      </w:r>
      <w:r>
        <w:rPr>
          <w:rFonts w:ascii="Times New Roman" w:hAnsi="Times New Roman" w:cs="Times New Roman"/>
          <w:lang w:eastAsia="zh-CN"/>
        </w:rPr>
        <w:t>，</w:t>
      </w:r>
      <w:r>
        <w:rPr>
          <w:rFonts w:hint="eastAsia" w:ascii="Times New Roman" w:hAnsi="Times New Roman" w:cs="Times New Roman"/>
          <w:lang w:eastAsia="zh-CN"/>
        </w:rPr>
        <w:t>指导干散货</w:t>
      </w:r>
      <w:r>
        <w:rPr>
          <w:rFonts w:hint="eastAsia" w:ascii="Times New Roman" w:hAnsi="Times New Roman" w:cs="Times New Roman"/>
          <w:lang w:val="en-US" w:eastAsia="zh-CN"/>
        </w:rPr>
        <w:t>港口</w:t>
      </w:r>
      <w:r>
        <w:rPr>
          <w:rFonts w:hint="eastAsia" w:ascii="Times New Roman" w:hAnsi="Times New Roman" w:cs="Times New Roman"/>
          <w:lang w:eastAsia="zh-CN"/>
        </w:rPr>
        <w:t>的</w:t>
      </w:r>
      <w:r>
        <w:rPr>
          <w:rFonts w:hint="eastAsia" w:ascii="Times New Roman" w:hAnsi="Times New Roman" w:cs="Times New Roman"/>
          <w:lang w:val="en-US" w:eastAsia="zh-CN"/>
        </w:rPr>
        <w:t>颗粒物</w:t>
      </w:r>
      <w:r>
        <w:rPr>
          <w:rFonts w:hint="eastAsia" w:ascii="Times New Roman" w:hAnsi="Times New Roman" w:cs="Times New Roman"/>
          <w:lang w:eastAsia="zh-CN"/>
        </w:rPr>
        <w:t>污染管控工作</w:t>
      </w:r>
      <w:r>
        <w:rPr>
          <w:rFonts w:ascii="Times New Roman" w:hAnsi="Times New Roman" w:cs="Times New Roman"/>
          <w:lang w:eastAsia="zh-CN"/>
        </w:rPr>
        <w:t>。</w:t>
      </w:r>
    </w:p>
    <w:p w14:paraId="47D6360C">
      <w:pPr>
        <w:spacing w:before="240" w:after="240"/>
        <w:ind w:left="607"/>
        <w:rPr>
          <w:rFonts w:ascii="Times New Roman" w:hAnsi="Times New Roman" w:cs="Times New Roman"/>
          <w:b/>
          <w:sz w:val="24"/>
          <w:szCs w:val="24"/>
          <w:lang w:eastAsia="zh-CN"/>
        </w:rPr>
      </w:pPr>
      <w:r>
        <w:rPr>
          <w:rFonts w:ascii="Times New Roman" w:hAnsi="Times New Roman" w:cs="Times New Roman"/>
          <w:b/>
          <w:sz w:val="24"/>
          <w:szCs w:val="24"/>
          <w:lang w:eastAsia="zh-CN"/>
        </w:rPr>
        <w:t>（二）确定标准主要内容的论据</w:t>
      </w:r>
    </w:p>
    <w:p w14:paraId="25707AC3">
      <w:pPr>
        <w:pStyle w:val="6"/>
        <w:spacing w:line="362" w:lineRule="auto"/>
        <w:ind w:left="609" w:right="632" w:firstLine="480"/>
        <w:jc w:val="both"/>
        <w:rPr>
          <w:rFonts w:ascii="Times New Roman" w:hAnsi="Times New Roman" w:eastAsia="宋体" w:cs="Times New Roman"/>
          <w:lang w:eastAsia="zh-CN"/>
        </w:rPr>
      </w:pPr>
      <w:r>
        <w:rPr>
          <w:rFonts w:hint="eastAsia" w:ascii="Times New Roman" w:hAnsi="Times New Roman" w:eastAsia="宋体" w:cs="Times New Roman"/>
          <w:lang w:eastAsia="zh-CN"/>
        </w:rPr>
        <w:t>本文件规定了干散货港口颗粒物管控的</w:t>
      </w:r>
      <w:r>
        <w:rPr>
          <w:rFonts w:hint="eastAsia" w:ascii="Times New Roman" w:hAnsi="Times New Roman" w:cs="Times New Roman"/>
          <w:lang w:val="en-US" w:eastAsia="zh-CN"/>
        </w:rPr>
        <w:t>总体</w:t>
      </w:r>
      <w:r>
        <w:rPr>
          <w:rFonts w:hint="eastAsia" w:ascii="Times New Roman" w:hAnsi="Times New Roman" w:eastAsia="宋体" w:cs="Times New Roman"/>
          <w:lang w:eastAsia="zh-CN"/>
        </w:rPr>
        <w:t>要求以及装卸、输运、堆取料、堆存和日常环境管理等要求。</w:t>
      </w:r>
    </w:p>
    <w:p w14:paraId="7C3A34E1">
      <w:pPr>
        <w:pStyle w:val="6"/>
        <w:spacing w:line="362" w:lineRule="auto"/>
        <w:ind w:left="609" w:right="632" w:firstLine="480"/>
        <w:jc w:val="both"/>
        <w:rPr>
          <w:rFonts w:hint="eastAsia" w:ascii="Times New Roman" w:hAnsi="Times New Roman" w:eastAsia="宋体" w:cs="Times New Roman"/>
          <w:lang w:eastAsia="zh-CN"/>
        </w:rPr>
      </w:pPr>
      <w:r>
        <w:rPr>
          <w:rFonts w:hint="eastAsia" w:ascii="Times New Roman" w:hAnsi="Times New Roman" w:eastAsia="宋体" w:cs="Times New Roman"/>
          <w:lang w:eastAsia="zh-CN"/>
        </w:rPr>
        <w:t>本文件适用于指导干散货港口装卸、输运、堆取料和堆存作业的颗粒物精细化管理。</w:t>
      </w:r>
    </w:p>
    <w:p w14:paraId="237D6C8C">
      <w:pPr>
        <w:pStyle w:val="6"/>
        <w:spacing w:line="362" w:lineRule="auto"/>
        <w:ind w:left="609" w:right="632" w:firstLine="480"/>
        <w:jc w:val="both"/>
        <w:rPr>
          <w:rFonts w:ascii="Times New Roman" w:hAnsi="Times New Roman" w:cs="Times New Roman"/>
          <w:lang w:eastAsia="zh-CN"/>
        </w:rPr>
      </w:pPr>
      <w:r>
        <w:rPr>
          <w:rFonts w:hint="eastAsia" w:ascii="Times New Roman" w:hAnsi="Times New Roman" w:cs="Times New Roman"/>
          <w:lang w:eastAsia="zh-CN"/>
        </w:rPr>
        <w:t>本文件</w:t>
      </w:r>
      <w:r>
        <w:rPr>
          <w:rFonts w:ascii="Times New Roman" w:hAnsi="Times New Roman" w:cs="Times New Roman"/>
          <w:lang w:eastAsia="zh-CN"/>
        </w:rPr>
        <w:t>制定的内容包括如下：</w:t>
      </w:r>
    </w:p>
    <w:p w14:paraId="4CBAF6FD">
      <w:pPr>
        <w:spacing w:before="240" w:after="240"/>
        <w:ind w:left="607"/>
        <w:rPr>
          <w:rFonts w:ascii="Times New Roman" w:hAnsi="Times New Roman" w:cs="Times New Roman"/>
          <w:b/>
          <w:sz w:val="24"/>
          <w:szCs w:val="24"/>
          <w:lang w:eastAsia="zh-CN"/>
        </w:rPr>
      </w:pPr>
      <w:r>
        <w:rPr>
          <w:rFonts w:ascii="Times New Roman" w:hAnsi="Times New Roman" w:cs="Times New Roman"/>
          <w:b/>
          <w:sz w:val="24"/>
          <w:szCs w:val="24"/>
          <w:lang w:eastAsia="zh-CN"/>
        </w:rPr>
        <w:t>第</w:t>
      </w:r>
      <w:r>
        <w:rPr>
          <w:rFonts w:hint="eastAsia" w:ascii="Times New Roman" w:hAnsi="Times New Roman" w:cs="Times New Roman"/>
          <w:b/>
          <w:sz w:val="24"/>
          <w:szCs w:val="24"/>
          <w:lang w:eastAsia="zh-CN"/>
        </w:rPr>
        <w:t>1</w:t>
      </w:r>
      <w:r>
        <w:rPr>
          <w:rFonts w:ascii="Times New Roman" w:hAnsi="Times New Roman" w:cs="Times New Roman"/>
          <w:b/>
          <w:sz w:val="24"/>
          <w:szCs w:val="24"/>
          <w:lang w:eastAsia="zh-CN"/>
        </w:rPr>
        <w:t>章  范围</w:t>
      </w:r>
    </w:p>
    <w:p w14:paraId="48580688">
      <w:pPr>
        <w:pStyle w:val="6"/>
        <w:spacing w:line="362" w:lineRule="auto"/>
        <w:ind w:left="609" w:right="632" w:firstLine="480"/>
        <w:jc w:val="both"/>
        <w:rPr>
          <w:rFonts w:hint="eastAsia" w:ascii="Times New Roman" w:hAnsi="Times New Roman" w:cs="Times New Roman"/>
          <w:lang w:eastAsia="zh-CN"/>
        </w:rPr>
      </w:pPr>
      <w:r>
        <w:rPr>
          <w:rFonts w:hint="eastAsia" w:ascii="Times New Roman" w:hAnsi="Times New Roman" w:cs="Times New Roman"/>
          <w:lang w:eastAsia="zh-CN"/>
        </w:rPr>
        <w:t>本文件规定了干散货</w:t>
      </w:r>
      <w:r>
        <w:rPr>
          <w:rFonts w:hint="eastAsia" w:ascii="Times New Roman" w:hAnsi="Times New Roman" w:cs="Times New Roman"/>
          <w:lang w:val="en-US" w:eastAsia="zh-CN"/>
        </w:rPr>
        <w:t>港口颗粒物污染</w:t>
      </w:r>
      <w:r>
        <w:rPr>
          <w:rFonts w:hint="eastAsia" w:ascii="Times New Roman" w:hAnsi="Times New Roman" w:cs="Times New Roman"/>
          <w:lang w:eastAsia="zh-CN"/>
        </w:rPr>
        <w:t>管控的</w:t>
      </w:r>
      <w:r>
        <w:rPr>
          <w:rFonts w:hint="eastAsia" w:ascii="Times New Roman" w:hAnsi="Times New Roman" w:cs="Times New Roman"/>
          <w:lang w:val="en-US" w:eastAsia="zh-CN"/>
        </w:rPr>
        <w:t>总体</w:t>
      </w:r>
      <w:r>
        <w:rPr>
          <w:rFonts w:hint="eastAsia" w:ascii="Times New Roman" w:hAnsi="Times New Roman" w:cs="Times New Roman"/>
          <w:lang w:eastAsia="zh-CN"/>
        </w:rPr>
        <w:t>要求、装卸环节管控要求、输运环节管控要求、堆取料环节管控要求、堆存环节管控要求和日常环境管理要求。</w:t>
      </w:r>
    </w:p>
    <w:p w14:paraId="12429B3D">
      <w:pPr>
        <w:pStyle w:val="6"/>
        <w:spacing w:line="362" w:lineRule="auto"/>
        <w:ind w:left="609" w:right="632" w:firstLine="480"/>
        <w:jc w:val="both"/>
        <w:rPr>
          <w:rFonts w:hint="eastAsia" w:ascii="Times New Roman" w:hAnsi="Times New Roman" w:cs="Times New Roman"/>
          <w:lang w:eastAsia="zh-CN"/>
        </w:rPr>
      </w:pPr>
      <w:r>
        <w:rPr>
          <w:rFonts w:hint="eastAsia" w:ascii="Times New Roman" w:hAnsi="Times New Roman" w:cs="Times New Roman"/>
          <w:lang w:eastAsia="zh-CN"/>
        </w:rPr>
        <w:t>本文件适用于指导干散货港口装卸、输运、堆取料和堆存作业的颗粒物精细化管理。</w:t>
      </w:r>
    </w:p>
    <w:p w14:paraId="31CBD65E">
      <w:pPr>
        <w:pStyle w:val="6"/>
        <w:spacing w:line="362" w:lineRule="auto"/>
        <w:ind w:left="609" w:right="632" w:firstLine="480"/>
        <w:jc w:val="both"/>
        <w:rPr>
          <w:rFonts w:ascii="Times New Roman" w:hAnsi="Times New Roman" w:cs="Times New Roman"/>
          <w:lang w:eastAsia="zh-CN"/>
        </w:rPr>
      </w:pPr>
      <w:r>
        <w:rPr>
          <w:rFonts w:ascii="Times New Roman" w:hAnsi="Times New Roman" w:cs="Times New Roman"/>
          <w:lang w:eastAsia="zh-CN"/>
        </w:rPr>
        <w:t>本</w:t>
      </w:r>
      <w:r>
        <w:rPr>
          <w:rFonts w:hint="eastAsia" w:ascii="Times New Roman" w:hAnsi="Times New Roman" w:cs="Times New Roman"/>
          <w:lang w:eastAsia="zh-CN"/>
        </w:rPr>
        <w:t>文件</w:t>
      </w:r>
      <w:r>
        <w:rPr>
          <w:rFonts w:ascii="Times New Roman" w:hAnsi="Times New Roman" w:cs="Times New Roman"/>
          <w:lang w:eastAsia="zh-CN"/>
        </w:rPr>
        <w:t>的范围基于标准编写的主要目的进行界定。</w:t>
      </w:r>
    </w:p>
    <w:p w14:paraId="2B052BD2">
      <w:pPr>
        <w:spacing w:before="240" w:after="240"/>
        <w:ind w:left="607"/>
        <w:rPr>
          <w:rFonts w:ascii="Times New Roman" w:hAnsi="Times New Roman" w:cs="Times New Roman"/>
          <w:b/>
          <w:sz w:val="24"/>
          <w:szCs w:val="24"/>
          <w:lang w:eastAsia="zh-CN"/>
        </w:rPr>
      </w:pPr>
      <w:r>
        <w:rPr>
          <w:rFonts w:ascii="Times New Roman" w:hAnsi="Times New Roman" w:cs="Times New Roman"/>
          <w:b/>
          <w:sz w:val="24"/>
          <w:szCs w:val="24"/>
          <w:lang w:eastAsia="zh-CN"/>
        </w:rPr>
        <w:t>第</w:t>
      </w:r>
      <w:r>
        <w:rPr>
          <w:rFonts w:hint="eastAsia" w:ascii="Times New Roman" w:hAnsi="Times New Roman" w:cs="Times New Roman"/>
          <w:b/>
          <w:sz w:val="24"/>
          <w:szCs w:val="24"/>
          <w:lang w:eastAsia="zh-CN"/>
        </w:rPr>
        <w:t>2</w:t>
      </w:r>
      <w:r>
        <w:rPr>
          <w:rFonts w:ascii="Times New Roman" w:hAnsi="Times New Roman" w:cs="Times New Roman"/>
          <w:b/>
          <w:sz w:val="24"/>
          <w:szCs w:val="24"/>
          <w:lang w:eastAsia="zh-CN"/>
        </w:rPr>
        <w:t>章  规范性引用文件</w:t>
      </w:r>
    </w:p>
    <w:p w14:paraId="272565B6">
      <w:pPr>
        <w:spacing w:before="240" w:line="360" w:lineRule="auto"/>
        <w:ind w:left="612"/>
        <w:rPr>
          <w:rFonts w:ascii="Times New Roman" w:hAnsi="Times New Roman" w:cs="Times New Roman"/>
          <w:sz w:val="24"/>
          <w:szCs w:val="24"/>
          <w:lang w:eastAsia="zh-CN"/>
        </w:rPr>
      </w:pPr>
      <w:r>
        <w:rPr>
          <w:rFonts w:ascii="Times New Roman" w:hAnsi="Times New Roman" w:cs="Times New Roman"/>
          <w:sz w:val="24"/>
          <w:szCs w:val="24"/>
          <w:lang w:eastAsia="zh-CN"/>
        </w:rPr>
        <w:t>本</w:t>
      </w:r>
      <w:r>
        <w:rPr>
          <w:rFonts w:hint="eastAsia" w:ascii="Times New Roman" w:hAnsi="Times New Roman" w:cs="Times New Roman"/>
          <w:sz w:val="24"/>
          <w:szCs w:val="24"/>
          <w:lang w:eastAsia="zh-CN"/>
        </w:rPr>
        <w:t>文件</w:t>
      </w:r>
      <w:r>
        <w:rPr>
          <w:rFonts w:ascii="Times New Roman" w:hAnsi="Times New Roman" w:cs="Times New Roman"/>
          <w:sz w:val="24"/>
          <w:szCs w:val="24"/>
          <w:lang w:eastAsia="zh-CN"/>
        </w:rPr>
        <w:t>引用了如下标准：</w:t>
      </w:r>
    </w:p>
    <w:p w14:paraId="4B06A5FF">
      <w:pPr>
        <w:pStyle w:val="6"/>
        <w:spacing w:line="362" w:lineRule="auto"/>
        <w:ind w:left="609" w:right="632" w:firstLine="480"/>
        <w:jc w:val="both"/>
        <w:rPr>
          <w:rFonts w:hint="eastAsia" w:ascii="Times New Roman" w:hAnsi="Times New Roman" w:cs="Times New Roman"/>
          <w:sz w:val="24"/>
          <w:szCs w:val="24"/>
          <w:lang w:eastAsia="zh-CN"/>
        </w:rPr>
      </w:pPr>
      <w:r>
        <w:rPr>
          <w:rFonts w:hint="eastAsia" w:ascii="Times New Roman" w:hAnsi="Times New Roman" w:cs="Times New Roman"/>
          <w:sz w:val="24"/>
          <w:szCs w:val="24"/>
          <w:lang w:eastAsia="zh-CN"/>
        </w:rPr>
        <w:t xml:space="preserve">GB/T 8487    </w:t>
      </w:r>
      <w:r>
        <w:rPr>
          <w:rFonts w:hint="eastAsia" w:ascii="Times New Roman" w:hAnsi="Times New Roman" w:cs="Times New Roman"/>
          <w:sz w:val="24"/>
          <w:szCs w:val="24"/>
          <w:lang w:val="en-US" w:eastAsia="zh-CN"/>
        </w:rPr>
        <w:t xml:space="preserve"> </w:t>
      </w:r>
      <w:r>
        <w:rPr>
          <w:rFonts w:hint="eastAsia" w:ascii="Times New Roman" w:hAnsi="Times New Roman" w:cs="Times New Roman"/>
          <w:sz w:val="24"/>
          <w:szCs w:val="24"/>
          <w:lang w:eastAsia="zh-CN"/>
        </w:rPr>
        <w:t>港口装卸术语</w:t>
      </w:r>
    </w:p>
    <w:p w14:paraId="00563866">
      <w:pPr>
        <w:pStyle w:val="6"/>
        <w:spacing w:line="362" w:lineRule="auto"/>
        <w:ind w:left="609" w:right="632" w:firstLine="480"/>
        <w:jc w:val="both"/>
        <w:rPr>
          <w:rFonts w:hint="eastAsia" w:ascii="Times New Roman" w:hAnsi="Times New Roman" w:cs="Times New Roman"/>
          <w:sz w:val="24"/>
          <w:szCs w:val="24"/>
          <w:lang w:eastAsia="zh-CN"/>
        </w:rPr>
      </w:pPr>
      <w:r>
        <w:rPr>
          <w:rFonts w:hint="eastAsia" w:ascii="Times New Roman" w:hAnsi="Times New Roman" w:cs="Times New Roman"/>
          <w:sz w:val="24"/>
          <w:szCs w:val="24"/>
          <w:lang w:eastAsia="zh-CN"/>
        </w:rPr>
        <w:t xml:space="preserve">GB/T 16157  </w:t>
      </w:r>
      <w:r>
        <w:rPr>
          <w:rFonts w:hint="eastAsia" w:ascii="Times New Roman" w:hAnsi="Times New Roman" w:cs="Times New Roman"/>
          <w:sz w:val="24"/>
          <w:szCs w:val="24"/>
          <w:lang w:val="en-US" w:eastAsia="zh-CN"/>
        </w:rPr>
        <w:t xml:space="preserve"> </w:t>
      </w:r>
      <w:r>
        <w:rPr>
          <w:rFonts w:hint="eastAsia" w:ascii="Times New Roman" w:hAnsi="Times New Roman" w:cs="Times New Roman"/>
          <w:sz w:val="24"/>
          <w:szCs w:val="24"/>
          <w:lang w:eastAsia="zh-CN"/>
        </w:rPr>
        <w:t xml:space="preserve"> 固定污染源排气中颗粒物测定与气态污染物采样方法</w:t>
      </w:r>
    </w:p>
    <w:p w14:paraId="7BDBFE51">
      <w:pPr>
        <w:pStyle w:val="6"/>
        <w:spacing w:line="362" w:lineRule="auto"/>
        <w:ind w:left="609" w:right="632" w:firstLine="480"/>
        <w:jc w:val="both"/>
        <w:rPr>
          <w:rFonts w:hint="eastAsia" w:ascii="Times New Roman" w:hAnsi="Times New Roman" w:cs="Times New Roman"/>
          <w:sz w:val="24"/>
          <w:szCs w:val="24"/>
          <w:lang w:eastAsia="zh-CN"/>
        </w:rPr>
      </w:pPr>
      <w:r>
        <w:rPr>
          <w:rFonts w:hint="eastAsia" w:ascii="Times New Roman" w:hAnsi="Times New Roman" w:cs="Times New Roman"/>
          <w:sz w:val="24"/>
          <w:szCs w:val="24"/>
          <w:lang w:eastAsia="zh-CN"/>
        </w:rPr>
        <w:t xml:space="preserve">GB 16297     </w:t>
      </w:r>
      <w:r>
        <w:rPr>
          <w:rFonts w:hint="eastAsia" w:ascii="Times New Roman" w:hAnsi="Times New Roman" w:cs="Times New Roman"/>
          <w:sz w:val="24"/>
          <w:szCs w:val="24"/>
          <w:lang w:val="en-US" w:eastAsia="zh-CN"/>
        </w:rPr>
        <w:t xml:space="preserve"> </w:t>
      </w:r>
      <w:r>
        <w:rPr>
          <w:rFonts w:hint="eastAsia" w:ascii="Times New Roman" w:hAnsi="Times New Roman" w:cs="Times New Roman"/>
          <w:sz w:val="24"/>
          <w:szCs w:val="24"/>
          <w:lang w:eastAsia="zh-CN"/>
        </w:rPr>
        <w:t>大气污染物综合排放标准</w:t>
      </w:r>
    </w:p>
    <w:p w14:paraId="70405AC2">
      <w:pPr>
        <w:pStyle w:val="6"/>
        <w:spacing w:line="362" w:lineRule="auto"/>
        <w:ind w:left="609" w:right="632" w:firstLine="480"/>
        <w:jc w:val="both"/>
        <w:rPr>
          <w:rFonts w:hint="eastAsia" w:ascii="Times New Roman" w:hAnsi="Times New Roman" w:cs="Times New Roman"/>
          <w:sz w:val="24"/>
          <w:szCs w:val="24"/>
          <w:lang w:eastAsia="zh-CN"/>
        </w:rPr>
      </w:pPr>
      <w:r>
        <w:rPr>
          <w:rFonts w:hint="eastAsia" w:ascii="Times New Roman" w:hAnsi="Times New Roman" w:cs="Times New Roman"/>
          <w:sz w:val="24"/>
          <w:szCs w:val="24"/>
          <w:lang w:eastAsia="zh-CN"/>
        </w:rPr>
        <w:t xml:space="preserve">HJ/T 55       </w:t>
      </w:r>
      <w:r>
        <w:rPr>
          <w:rFonts w:hint="eastAsia" w:ascii="Times New Roman" w:hAnsi="Times New Roman" w:cs="Times New Roman"/>
          <w:sz w:val="24"/>
          <w:szCs w:val="24"/>
          <w:lang w:val="en-US" w:eastAsia="zh-CN"/>
        </w:rPr>
        <w:t xml:space="preserve"> </w:t>
      </w:r>
      <w:r>
        <w:rPr>
          <w:rFonts w:hint="eastAsia" w:ascii="Times New Roman" w:hAnsi="Times New Roman" w:cs="Times New Roman"/>
          <w:sz w:val="24"/>
          <w:szCs w:val="24"/>
          <w:lang w:eastAsia="zh-CN"/>
        </w:rPr>
        <w:t>大气污染物无组织排放监测技术导则</w:t>
      </w:r>
    </w:p>
    <w:p w14:paraId="20E0894F">
      <w:pPr>
        <w:pStyle w:val="6"/>
        <w:spacing w:line="362" w:lineRule="auto"/>
        <w:ind w:left="609" w:right="632" w:firstLine="480"/>
        <w:jc w:val="both"/>
        <w:rPr>
          <w:rFonts w:hint="eastAsia" w:ascii="Times New Roman" w:hAnsi="Times New Roman" w:cs="Times New Roman"/>
          <w:sz w:val="24"/>
          <w:szCs w:val="24"/>
          <w:lang w:eastAsia="zh-CN"/>
        </w:rPr>
      </w:pPr>
      <w:r>
        <w:rPr>
          <w:rFonts w:hint="eastAsia" w:ascii="Times New Roman" w:hAnsi="Times New Roman" w:cs="Times New Roman"/>
          <w:sz w:val="24"/>
          <w:szCs w:val="24"/>
          <w:lang w:eastAsia="zh-CN"/>
        </w:rPr>
        <w:t xml:space="preserve">HJ/T 397      </w:t>
      </w:r>
      <w:r>
        <w:rPr>
          <w:rFonts w:hint="eastAsia" w:ascii="Times New Roman" w:hAnsi="Times New Roman" w:cs="Times New Roman"/>
          <w:sz w:val="24"/>
          <w:szCs w:val="24"/>
          <w:lang w:val="en-US" w:eastAsia="zh-CN"/>
        </w:rPr>
        <w:t xml:space="preserve"> </w:t>
      </w:r>
      <w:r>
        <w:rPr>
          <w:rFonts w:hint="eastAsia" w:ascii="Times New Roman" w:hAnsi="Times New Roman" w:cs="Times New Roman"/>
          <w:sz w:val="24"/>
          <w:szCs w:val="24"/>
          <w:lang w:eastAsia="zh-CN"/>
        </w:rPr>
        <w:t>固定源废气监测技术规范</w:t>
      </w:r>
    </w:p>
    <w:p w14:paraId="3974E9DD">
      <w:pPr>
        <w:pStyle w:val="6"/>
        <w:spacing w:line="362" w:lineRule="auto"/>
        <w:ind w:left="609" w:right="632" w:firstLine="480"/>
        <w:jc w:val="both"/>
        <w:rPr>
          <w:rFonts w:hint="eastAsia" w:ascii="Times New Roman" w:hAnsi="Times New Roman" w:cs="Times New Roman"/>
          <w:sz w:val="24"/>
          <w:szCs w:val="24"/>
          <w:lang w:eastAsia="zh-CN"/>
        </w:rPr>
      </w:pPr>
      <w:r>
        <w:rPr>
          <w:rFonts w:hint="eastAsia" w:ascii="Times New Roman" w:hAnsi="Times New Roman" w:cs="Times New Roman"/>
          <w:sz w:val="24"/>
          <w:szCs w:val="24"/>
          <w:lang w:eastAsia="zh-CN"/>
        </w:rPr>
        <w:t>HJ 1107</w:t>
      </w:r>
      <w:r>
        <w:rPr>
          <w:rFonts w:hint="eastAsia" w:ascii="Times New Roman" w:hAnsi="Times New Roman" w:cs="Times New Roman"/>
          <w:sz w:val="24"/>
          <w:szCs w:val="24"/>
          <w:lang w:val="en-US" w:eastAsia="zh-CN"/>
        </w:rPr>
        <w:t xml:space="preserve">        </w:t>
      </w:r>
      <w:r>
        <w:rPr>
          <w:rFonts w:hint="eastAsia" w:ascii="Times New Roman" w:hAnsi="Times New Roman" w:cs="Times New Roman"/>
          <w:sz w:val="24"/>
          <w:szCs w:val="24"/>
          <w:lang w:eastAsia="zh-CN"/>
        </w:rPr>
        <w:t>排污许可证申请与核发技术规范 码头</w:t>
      </w:r>
    </w:p>
    <w:p w14:paraId="4B1F3F53">
      <w:pPr>
        <w:pStyle w:val="6"/>
        <w:spacing w:line="362" w:lineRule="auto"/>
        <w:ind w:left="609" w:right="632" w:firstLine="480"/>
        <w:jc w:val="both"/>
        <w:rPr>
          <w:rFonts w:hint="eastAsia" w:ascii="Times New Roman" w:hAnsi="Times New Roman" w:cs="Times New Roman"/>
          <w:sz w:val="24"/>
          <w:szCs w:val="24"/>
          <w:lang w:eastAsia="zh-CN"/>
        </w:rPr>
      </w:pPr>
      <w:r>
        <w:rPr>
          <w:rFonts w:hint="eastAsia" w:ascii="Times New Roman" w:hAnsi="Times New Roman" w:cs="Times New Roman"/>
          <w:sz w:val="24"/>
          <w:szCs w:val="24"/>
          <w:lang w:eastAsia="zh-CN"/>
        </w:rPr>
        <w:t xml:space="preserve">JTS 149       </w:t>
      </w:r>
      <w:r>
        <w:rPr>
          <w:rFonts w:hint="eastAsia" w:ascii="Times New Roman" w:hAnsi="Times New Roman" w:cs="Times New Roman"/>
          <w:sz w:val="24"/>
          <w:szCs w:val="24"/>
          <w:lang w:val="en-US" w:eastAsia="zh-CN"/>
        </w:rPr>
        <w:t xml:space="preserve"> </w:t>
      </w:r>
      <w:r>
        <w:rPr>
          <w:rFonts w:hint="eastAsia" w:ascii="Times New Roman" w:hAnsi="Times New Roman" w:cs="Times New Roman"/>
          <w:sz w:val="24"/>
          <w:szCs w:val="24"/>
          <w:lang w:eastAsia="zh-CN"/>
        </w:rPr>
        <w:t>水运工程环境保护设计规范</w:t>
      </w:r>
    </w:p>
    <w:p w14:paraId="08CD2CFF">
      <w:pPr>
        <w:pStyle w:val="6"/>
        <w:spacing w:line="362" w:lineRule="auto"/>
        <w:ind w:left="609" w:right="632" w:firstLine="480"/>
        <w:jc w:val="both"/>
        <w:rPr>
          <w:rFonts w:hint="eastAsia" w:ascii="Times New Roman" w:hAnsi="Times New Roman" w:cs="Times New Roman"/>
          <w:sz w:val="24"/>
          <w:szCs w:val="24"/>
          <w:lang w:eastAsia="zh-CN"/>
        </w:rPr>
      </w:pPr>
      <w:r>
        <w:rPr>
          <w:rFonts w:hint="eastAsia" w:ascii="Times New Roman" w:hAnsi="Times New Roman" w:cs="Times New Roman"/>
          <w:sz w:val="24"/>
          <w:szCs w:val="24"/>
          <w:lang w:eastAsia="zh-CN"/>
        </w:rPr>
        <w:t>JTS 156        煤炭矿石码头粉尘控制设计规范</w:t>
      </w:r>
    </w:p>
    <w:p w14:paraId="63DEEB5E">
      <w:pPr>
        <w:pStyle w:val="6"/>
        <w:spacing w:line="362" w:lineRule="auto"/>
        <w:ind w:left="609" w:right="632" w:firstLine="480"/>
        <w:jc w:val="both"/>
        <w:rPr>
          <w:rFonts w:hint="eastAsia" w:ascii="Times New Roman" w:hAnsi="Times New Roman" w:cs="Times New Roman"/>
          <w:sz w:val="24"/>
          <w:szCs w:val="24"/>
          <w:lang w:eastAsia="zh-CN"/>
        </w:rPr>
      </w:pPr>
    </w:p>
    <w:p w14:paraId="09A494F0">
      <w:pPr>
        <w:pStyle w:val="6"/>
        <w:spacing w:line="362" w:lineRule="auto"/>
        <w:ind w:left="609" w:right="632" w:firstLine="480"/>
        <w:jc w:val="both"/>
        <w:rPr>
          <w:rFonts w:hint="default" w:ascii="Times New Roman" w:hAnsi="Times New Roman" w:cs="Times New Roman"/>
          <w:lang w:val="en-US" w:eastAsia="zh-CN"/>
        </w:rPr>
      </w:pPr>
      <w:r>
        <w:rPr>
          <w:rFonts w:ascii="Times New Roman" w:hAnsi="Times New Roman" w:cs="Times New Roman"/>
          <w:lang w:eastAsia="zh-CN"/>
        </w:rPr>
        <w:t>其中</w:t>
      </w:r>
      <w:r>
        <w:rPr>
          <w:rFonts w:hint="eastAsia" w:ascii="Times New Roman" w:hAnsi="Times New Roman" w:cs="Times New Roman"/>
          <w:lang w:eastAsia="zh-CN"/>
        </w:rPr>
        <w:t>，</w:t>
      </w:r>
      <w:r>
        <w:rPr>
          <w:rFonts w:ascii="Times New Roman" w:hAnsi="Times New Roman" w:cs="Times New Roman"/>
          <w:lang w:eastAsia="zh-CN"/>
        </w:rPr>
        <w:t>GB/T 8487 界定的相关术语适用于本文件；</w:t>
      </w:r>
      <w:r>
        <w:rPr>
          <w:rFonts w:hint="eastAsia" w:ascii="Times New Roman" w:hAnsi="Times New Roman" w:cs="Times New Roman"/>
          <w:sz w:val="24"/>
          <w:szCs w:val="24"/>
          <w:lang w:eastAsia="zh-CN"/>
        </w:rPr>
        <w:t>GB 16297</w:t>
      </w:r>
      <w:r>
        <w:rPr>
          <w:rFonts w:hint="eastAsia" w:ascii="Times New Roman" w:hAnsi="Times New Roman" w:cs="Times New Roman"/>
          <w:sz w:val="24"/>
          <w:szCs w:val="24"/>
          <w:lang w:val="en-US" w:eastAsia="zh-CN"/>
        </w:rPr>
        <w:t>规定了干散货港口厂界及粉尘排放口的颗粒物排放限值；干散货港口的有组织排放口及厂界颗粒物采样及监测方法参照</w:t>
      </w:r>
      <w:r>
        <w:rPr>
          <w:rFonts w:hint="eastAsia" w:ascii="Times New Roman" w:hAnsi="Times New Roman" w:cs="Times New Roman"/>
          <w:sz w:val="24"/>
          <w:szCs w:val="24"/>
          <w:lang w:eastAsia="zh-CN"/>
        </w:rPr>
        <w:t>GB/T 16157</w:t>
      </w:r>
      <w:r>
        <w:rPr>
          <w:rFonts w:hint="eastAsia" w:ascii="Times New Roman" w:hAnsi="Times New Roman" w:cs="Times New Roman"/>
          <w:sz w:val="24"/>
          <w:szCs w:val="24"/>
          <w:lang w:val="en-US" w:eastAsia="zh-CN"/>
        </w:rPr>
        <w:t>、</w:t>
      </w:r>
      <w:r>
        <w:rPr>
          <w:rFonts w:hint="eastAsia" w:ascii="Times New Roman" w:hAnsi="Times New Roman" w:cs="Times New Roman"/>
          <w:sz w:val="24"/>
          <w:szCs w:val="24"/>
          <w:lang w:eastAsia="zh-CN"/>
        </w:rPr>
        <w:t>HJ/T 55</w:t>
      </w:r>
      <w:r>
        <w:rPr>
          <w:rFonts w:hint="eastAsia" w:ascii="Times New Roman" w:hAnsi="Times New Roman" w:cs="Times New Roman"/>
          <w:sz w:val="24"/>
          <w:szCs w:val="24"/>
          <w:lang w:val="en-US" w:eastAsia="zh-CN"/>
        </w:rPr>
        <w:t>和</w:t>
      </w:r>
      <w:r>
        <w:rPr>
          <w:rFonts w:hint="eastAsia" w:ascii="Times New Roman" w:hAnsi="Times New Roman" w:cs="Times New Roman"/>
          <w:sz w:val="24"/>
          <w:szCs w:val="24"/>
          <w:lang w:eastAsia="zh-CN"/>
        </w:rPr>
        <w:t>HJ/T 397</w:t>
      </w:r>
      <w:r>
        <w:rPr>
          <w:rFonts w:hint="eastAsia" w:ascii="Times New Roman" w:hAnsi="Times New Roman" w:cs="Times New Roman"/>
          <w:sz w:val="24"/>
          <w:szCs w:val="24"/>
          <w:lang w:val="en-US" w:eastAsia="zh-CN"/>
        </w:rPr>
        <w:t>；本标准中关于颗粒物管控的相关细则条款参考</w:t>
      </w:r>
      <w:r>
        <w:rPr>
          <w:rFonts w:hint="eastAsia" w:ascii="Times New Roman" w:hAnsi="Times New Roman" w:cs="Times New Roman"/>
          <w:sz w:val="24"/>
          <w:szCs w:val="24"/>
          <w:lang w:eastAsia="zh-CN"/>
        </w:rPr>
        <w:t>HJ 1107、</w:t>
      </w:r>
      <w:r>
        <w:rPr>
          <w:rFonts w:hint="eastAsia" w:ascii="Times New Roman" w:hAnsi="Times New Roman" w:cs="Times New Roman"/>
          <w:sz w:val="24"/>
          <w:szCs w:val="24"/>
          <w:lang w:val="en-US" w:eastAsia="zh-CN"/>
        </w:rPr>
        <w:t xml:space="preserve"> </w:t>
      </w:r>
      <w:r>
        <w:rPr>
          <w:rFonts w:hint="eastAsia" w:ascii="Times New Roman" w:hAnsi="Times New Roman" w:cs="Times New Roman"/>
          <w:sz w:val="24"/>
          <w:szCs w:val="24"/>
          <w:lang w:eastAsia="zh-CN"/>
        </w:rPr>
        <w:t>JTS 149</w:t>
      </w:r>
      <w:r>
        <w:rPr>
          <w:rFonts w:hint="eastAsia" w:ascii="Times New Roman" w:hAnsi="Times New Roman" w:cs="Times New Roman"/>
          <w:sz w:val="24"/>
          <w:szCs w:val="24"/>
          <w:lang w:val="en-US" w:eastAsia="zh-CN"/>
        </w:rPr>
        <w:t>和 JTS 156中的相关细则要求。</w:t>
      </w:r>
    </w:p>
    <w:p w14:paraId="183E3043">
      <w:pPr>
        <w:spacing w:before="240" w:after="240"/>
        <w:ind w:left="607"/>
        <w:rPr>
          <w:rFonts w:ascii="Times New Roman" w:hAnsi="Times New Roman" w:cs="Times New Roman"/>
          <w:b/>
          <w:sz w:val="24"/>
          <w:szCs w:val="24"/>
          <w:lang w:eastAsia="zh-CN"/>
        </w:rPr>
      </w:pPr>
      <w:r>
        <w:rPr>
          <w:rFonts w:ascii="Times New Roman" w:hAnsi="Times New Roman" w:cs="Times New Roman"/>
          <w:b/>
          <w:sz w:val="24"/>
          <w:szCs w:val="24"/>
          <w:lang w:eastAsia="zh-CN"/>
        </w:rPr>
        <w:t>第</w:t>
      </w:r>
      <w:r>
        <w:rPr>
          <w:rFonts w:hint="eastAsia" w:ascii="Times New Roman" w:hAnsi="Times New Roman" w:cs="Times New Roman"/>
          <w:b/>
          <w:sz w:val="24"/>
          <w:szCs w:val="24"/>
          <w:lang w:eastAsia="zh-CN"/>
        </w:rPr>
        <w:t>3</w:t>
      </w:r>
      <w:r>
        <w:rPr>
          <w:rFonts w:ascii="Times New Roman" w:hAnsi="Times New Roman" w:cs="Times New Roman"/>
          <w:b/>
          <w:sz w:val="24"/>
          <w:szCs w:val="24"/>
          <w:lang w:eastAsia="zh-CN"/>
        </w:rPr>
        <w:t>章  术语和定义</w:t>
      </w:r>
    </w:p>
    <w:p w14:paraId="79A0C27C">
      <w:pPr>
        <w:pStyle w:val="6"/>
        <w:spacing w:line="362" w:lineRule="auto"/>
        <w:ind w:left="609" w:right="632" w:firstLine="480"/>
        <w:jc w:val="both"/>
        <w:rPr>
          <w:rFonts w:hint="default" w:asciiTheme="minorEastAsia" w:hAnsiTheme="minorEastAsia" w:eastAsiaTheme="minorEastAsia" w:cstheme="minorEastAsia"/>
          <w:color w:val="000000" w:themeColor="text1"/>
          <w:lang w:val="en-US" w:eastAsia="zh-CN"/>
        </w:rPr>
      </w:pPr>
      <w:r>
        <w:rPr>
          <w:rFonts w:hint="eastAsia" w:asciiTheme="minorEastAsia" w:hAnsiTheme="minorEastAsia" w:eastAsiaTheme="minorEastAsia" w:cstheme="minorEastAsia"/>
          <w:color w:val="000000" w:themeColor="text1"/>
          <w:lang w:eastAsia="zh-CN"/>
        </w:rPr>
        <w:t>该章主要阐述了在干散货</w:t>
      </w:r>
      <w:r>
        <w:rPr>
          <w:rFonts w:hint="eastAsia" w:asciiTheme="minorEastAsia" w:hAnsiTheme="minorEastAsia" w:eastAsiaTheme="minorEastAsia" w:cstheme="minorEastAsia"/>
          <w:color w:val="000000" w:themeColor="text1"/>
          <w:lang w:val="en-US" w:eastAsia="zh-CN"/>
        </w:rPr>
        <w:t>港口颗粒物管控</w:t>
      </w:r>
      <w:r>
        <w:rPr>
          <w:rFonts w:hint="eastAsia" w:asciiTheme="minorEastAsia" w:hAnsiTheme="minorEastAsia" w:eastAsiaTheme="minorEastAsia" w:cstheme="minorEastAsia"/>
          <w:color w:val="000000" w:themeColor="text1"/>
          <w:lang w:eastAsia="zh-CN"/>
        </w:rPr>
        <w:t>过程中所涉及的相关术语，除了引用GB/T 8487界定的相关术语外，本文件定义了“</w:t>
      </w:r>
      <w:r>
        <w:rPr>
          <w:rFonts w:hint="eastAsia" w:asciiTheme="minorEastAsia" w:hAnsiTheme="minorEastAsia" w:eastAsiaTheme="minorEastAsia" w:cstheme="minorEastAsia"/>
          <w:color w:val="000000" w:themeColor="text1"/>
          <w:lang w:val="en-US" w:eastAsia="zh-CN"/>
        </w:rPr>
        <w:t>干散货港口</w:t>
      </w:r>
      <w:r>
        <w:rPr>
          <w:rFonts w:hint="eastAsia" w:asciiTheme="minorEastAsia" w:hAnsiTheme="minorEastAsia" w:eastAsiaTheme="minorEastAsia" w:cstheme="minorEastAsia"/>
          <w:color w:val="000000" w:themeColor="text1"/>
          <w:lang w:eastAsia="zh-CN"/>
        </w:rPr>
        <w:t>”“</w:t>
      </w:r>
      <w:r>
        <w:rPr>
          <w:rFonts w:hint="eastAsia" w:asciiTheme="minorEastAsia" w:hAnsiTheme="minorEastAsia" w:eastAsiaTheme="minorEastAsia" w:cstheme="minorEastAsia"/>
          <w:color w:val="000000" w:themeColor="text1"/>
          <w:lang w:val="en-US" w:eastAsia="zh-CN"/>
        </w:rPr>
        <w:t>干式除尘</w:t>
      </w:r>
      <w:r>
        <w:rPr>
          <w:rFonts w:hint="eastAsia" w:asciiTheme="minorEastAsia" w:hAnsiTheme="minorEastAsia" w:eastAsiaTheme="minorEastAsia" w:cstheme="minorEastAsia"/>
          <w:color w:val="000000" w:themeColor="text1"/>
          <w:lang w:eastAsia="zh-CN"/>
        </w:rPr>
        <w:t>”“</w:t>
      </w:r>
      <w:r>
        <w:rPr>
          <w:rFonts w:hint="eastAsia" w:asciiTheme="minorEastAsia" w:hAnsiTheme="minorEastAsia" w:eastAsiaTheme="minorEastAsia" w:cstheme="minorEastAsia"/>
          <w:color w:val="000000" w:themeColor="text1"/>
          <w:lang w:val="en-US" w:eastAsia="zh-CN"/>
        </w:rPr>
        <w:t>干雾抑尘</w:t>
      </w:r>
      <w:r>
        <w:rPr>
          <w:rFonts w:hint="eastAsia" w:asciiTheme="minorEastAsia" w:hAnsiTheme="minorEastAsia" w:eastAsiaTheme="minorEastAsia" w:cstheme="minorEastAsia"/>
          <w:color w:val="000000" w:themeColor="text1"/>
          <w:lang w:eastAsia="zh-CN"/>
        </w:rPr>
        <w:t>”“</w:t>
      </w:r>
      <w:r>
        <w:rPr>
          <w:rFonts w:hint="eastAsia" w:asciiTheme="minorEastAsia" w:hAnsiTheme="minorEastAsia" w:eastAsiaTheme="minorEastAsia" w:cstheme="minorEastAsia"/>
          <w:color w:val="000000" w:themeColor="text1"/>
          <w:lang w:val="en-US" w:eastAsia="zh-CN"/>
        </w:rPr>
        <w:t>水雾抑尘</w:t>
      </w:r>
      <w:r>
        <w:rPr>
          <w:rFonts w:hint="eastAsia" w:asciiTheme="minorEastAsia" w:hAnsiTheme="minorEastAsia" w:eastAsiaTheme="minorEastAsia" w:cstheme="minorEastAsia"/>
          <w:color w:val="000000" w:themeColor="text1"/>
          <w:lang w:eastAsia="zh-CN"/>
        </w:rPr>
        <w:t>”“</w:t>
      </w:r>
      <w:r>
        <w:rPr>
          <w:rFonts w:hint="eastAsia" w:asciiTheme="minorEastAsia" w:hAnsiTheme="minorEastAsia" w:eastAsiaTheme="minorEastAsia" w:cstheme="minorEastAsia"/>
          <w:color w:val="000000" w:themeColor="text1"/>
          <w:lang w:val="en-US" w:eastAsia="zh-CN"/>
        </w:rPr>
        <w:t>精细化管控</w:t>
      </w:r>
      <w:r>
        <w:rPr>
          <w:rFonts w:hint="eastAsia" w:asciiTheme="minorEastAsia" w:hAnsiTheme="minorEastAsia" w:eastAsiaTheme="minorEastAsia" w:cstheme="minorEastAsia"/>
          <w:color w:val="000000" w:themeColor="text1"/>
          <w:lang w:eastAsia="zh-CN"/>
        </w:rPr>
        <w:t>”。</w:t>
      </w:r>
      <w:r>
        <w:rPr>
          <w:rFonts w:hint="eastAsia" w:asciiTheme="minorEastAsia" w:hAnsiTheme="minorEastAsia" w:eastAsiaTheme="minorEastAsia" w:cstheme="minorEastAsia"/>
          <w:color w:val="000000" w:themeColor="text1"/>
          <w:lang w:val="en-US" w:eastAsia="zh-CN"/>
        </w:rPr>
        <w:t>本文件定义的</w:t>
      </w:r>
      <w:r>
        <w:rPr>
          <w:rFonts w:hint="eastAsia" w:asciiTheme="minorEastAsia" w:hAnsiTheme="minorEastAsia" w:eastAsiaTheme="minorEastAsia" w:cstheme="minorEastAsia"/>
          <w:color w:val="000000" w:themeColor="text1"/>
          <w:lang w:eastAsia="zh-CN"/>
        </w:rPr>
        <w:t>“</w:t>
      </w:r>
      <w:r>
        <w:rPr>
          <w:rFonts w:hint="eastAsia" w:asciiTheme="minorEastAsia" w:hAnsiTheme="minorEastAsia" w:eastAsiaTheme="minorEastAsia" w:cstheme="minorEastAsia"/>
          <w:color w:val="000000" w:themeColor="text1"/>
          <w:lang w:val="en-US" w:eastAsia="zh-CN"/>
        </w:rPr>
        <w:t>干散货港口</w:t>
      </w:r>
      <w:r>
        <w:rPr>
          <w:rFonts w:hint="eastAsia" w:asciiTheme="minorEastAsia" w:hAnsiTheme="minorEastAsia" w:eastAsiaTheme="minorEastAsia" w:cstheme="minorEastAsia"/>
          <w:color w:val="000000" w:themeColor="text1"/>
          <w:lang w:eastAsia="zh-CN"/>
        </w:rPr>
        <w:t>”</w:t>
      </w:r>
      <w:r>
        <w:rPr>
          <w:rFonts w:hint="eastAsia" w:asciiTheme="minorEastAsia" w:hAnsiTheme="minorEastAsia" w:eastAsiaTheme="minorEastAsia" w:cstheme="minorEastAsia"/>
          <w:color w:val="000000" w:themeColor="text1"/>
          <w:lang w:val="en-US" w:eastAsia="zh-CN"/>
        </w:rPr>
        <w:t>是指装载煤炭、金属矿石、非金属矿石、水泥、粮食、矿建材料等干散货并配套相应生产设施的港口。</w:t>
      </w:r>
      <w:r>
        <w:rPr>
          <w:rFonts w:hint="eastAsia" w:asciiTheme="minorEastAsia" w:hAnsiTheme="minorEastAsia" w:eastAsiaTheme="minorEastAsia" w:cstheme="minorEastAsia"/>
          <w:color w:val="000000" w:themeColor="text1"/>
          <w:lang w:eastAsia="zh-CN"/>
        </w:rPr>
        <w:t>“</w:t>
      </w:r>
      <w:r>
        <w:rPr>
          <w:rFonts w:hint="eastAsia" w:asciiTheme="minorEastAsia" w:hAnsiTheme="minorEastAsia" w:eastAsiaTheme="minorEastAsia" w:cstheme="minorEastAsia"/>
          <w:color w:val="000000" w:themeColor="text1"/>
          <w:lang w:val="en-US" w:eastAsia="zh-CN"/>
        </w:rPr>
        <w:t>干式除尘</w:t>
      </w:r>
      <w:r>
        <w:rPr>
          <w:rFonts w:hint="eastAsia" w:asciiTheme="minorEastAsia" w:hAnsiTheme="minorEastAsia" w:eastAsiaTheme="minorEastAsia" w:cstheme="minorEastAsia"/>
          <w:color w:val="000000" w:themeColor="text1"/>
          <w:lang w:eastAsia="zh-CN"/>
        </w:rPr>
        <w:t>”</w:t>
      </w:r>
      <w:r>
        <w:rPr>
          <w:rFonts w:hint="eastAsia" w:asciiTheme="minorEastAsia" w:hAnsiTheme="minorEastAsia" w:eastAsiaTheme="minorEastAsia" w:cstheme="minorEastAsia"/>
          <w:color w:val="000000" w:themeColor="text1"/>
          <w:lang w:val="en-US" w:eastAsia="zh-CN"/>
        </w:rPr>
        <w:t>是指</w:t>
      </w:r>
      <w:r>
        <w:rPr>
          <w:rFonts w:hint="eastAsia"/>
          <w:color w:val="000000" w:themeColor="text1"/>
          <w:lang w:val="en-US" w:eastAsia="zh-CN"/>
        </w:rPr>
        <w:t>不采用水或其他液体介质，仅依靠过滤、静电、离心、重力、惯性等物理作用，从含尘气体中分离并捕集颗粒物的大气污染控制技术。</w:t>
      </w:r>
      <w:r>
        <w:rPr>
          <w:rFonts w:hint="eastAsia" w:asciiTheme="minorEastAsia" w:hAnsiTheme="minorEastAsia" w:eastAsiaTheme="minorEastAsia" w:cstheme="minorEastAsia"/>
          <w:color w:val="000000" w:themeColor="text1"/>
          <w:lang w:eastAsia="zh-CN"/>
        </w:rPr>
        <w:t>“</w:t>
      </w:r>
      <w:r>
        <w:rPr>
          <w:rFonts w:hint="eastAsia" w:asciiTheme="minorEastAsia" w:hAnsiTheme="minorEastAsia" w:eastAsiaTheme="minorEastAsia" w:cstheme="minorEastAsia"/>
          <w:color w:val="000000" w:themeColor="text1"/>
          <w:lang w:val="en-US" w:eastAsia="zh-CN"/>
        </w:rPr>
        <w:t>干雾抑尘</w:t>
      </w:r>
      <w:r>
        <w:rPr>
          <w:rFonts w:hint="eastAsia" w:asciiTheme="minorEastAsia" w:hAnsiTheme="minorEastAsia" w:eastAsiaTheme="minorEastAsia" w:cstheme="minorEastAsia"/>
          <w:color w:val="000000" w:themeColor="text1"/>
          <w:lang w:eastAsia="zh-CN"/>
        </w:rPr>
        <w:t>”</w:t>
      </w:r>
      <w:r>
        <w:rPr>
          <w:rFonts w:hint="eastAsia"/>
          <w:color w:val="000000" w:themeColor="text1"/>
          <w:lang w:val="en-US" w:eastAsia="zh-CN"/>
        </w:rPr>
        <w:t>指压缩空气驱动，将水在喷嘴内通过高频声波雾化为10μm以下的水雾颗粒，喷射后吸附粉尘，形成团聚物，受重力作用而沉降的抑尘方式。“水雾抑尘”指利用喷射10μm~150μm的水雾加湿物料，减少起尘并促进粉尘凝聚、沉降的抑尘方式。</w:t>
      </w:r>
      <w:r>
        <w:rPr>
          <w:rFonts w:hint="eastAsia" w:asciiTheme="minorEastAsia" w:hAnsiTheme="minorEastAsia" w:eastAsiaTheme="minorEastAsia" w:cstheme="minorEastAsia"/>
          <w:color w:val="000000" w:themeColor="text1"/>
          <w:lang w:eastAsia="zh-CN"/>
        </w:rPr>
        <w:t>“</w:t>
      </w:r>
      <w:r>
        <w:rPr>
          <w:rFonts w:hint="eastAsia" w:asciiTheme="minorEastAsia" w:hAnsiTheme="minorEastAsia" w:eastAsiaTheme="minorEastAsia" w:cstheme="minorEastAsia"/>
          <w:color w:val="000000" w:themeColor="text1"/>
          <w:lang w:val="en-US" w:eastAsia="zh-CN"/>
        </w:rPr>
        <w:t>精细化管控</w:t>
      </w:r>
      <w:r>
        <w:rPr>
          <w:rFonts w:hint="eastAsia" w:asciiTheme="minorEastAsia" w:hAnsiTheme="minorEastAsia" w:eastAsiaTheme="minorEastAsia" w:cstheme="minorEastAsia"/>
          <w:color w:val="000000" w:themeColor="text1"/>
          <w:lang w:eastAsia="zh-CN"/>
        </w:rPr>
        <w:t>”是</w:t>
      </w:r>
      <w:r>
        <w:rPr>
          <w:rFonts w:hint="eastAsia" w:asciiTheme="minorEastAsia" w:hAnsiTheme="minorEastAsia" w:eastAsiaTheme="minorEastAsia" w:cstheme="minorEastAsia"/>
          <w:color w:val="000000" w:themeColor="text1"/>
          <w:lang w:val="en-US" w:eastAsia="zh-CN"/>
        </w:rPr>
        <w:t>指结合干散货货种类型、作业工况及环境条件，通过制度规范、措施覆盖、流程优化，实现干散货港口装卸、输运、堆取料和堆存全流程的系统化颗粒物管控。</w:t>
      </w:r>
    </w:p>
    <w:p w14:paraId="057FF430">
      <w:pPr>
        <w:spacing w:before="240" w:after="240"/>
        <w:ind w:left="607"/>
        <w:rPr>
          <w:rFonts w:ascii="Times New Roman" w:hAnsi="Times New Roman" w:cs="Times New Roman"/>
          <w:b/>
          <w:sz w:val="24"/>
          <w:szCs w:val="24"/>
          <w:lang w:eastAsia="zh-CN"/>
        </w:rPr>
      </w:pPr>
      <w:r>
        <w:rPr>
          <w:rFonts w:ascii="Times New Roman" w:hAnsi="Times New Roman" w:cs="Times New Roman"/>
          <w:b/>
          <w:sz w:val="24"/>
          <w:szCs w:val="24"/>
          <w:lang w:eastAsia="zh-CN"/>
        </w:rPr>
        <w:t>第</w:t>
      </w:r>
      <w:r>
        <w:rPr>
          <w:rFonts w:hint="eastAsia" w:ascii="Times New Roman" w:hAnsi="Times New Roman" w:cs="Times New Roman"/>
          <w:b/>
          <w:sz w:val="24"/>
          <w:szCs w:val="24"/>
          <w:lang w:eastAsia="zh-CN"/>
        </w:rPr>
        <w:t>4</w:t>
      </w:r>
      <w:r>
        <w:rPr>
          <w:rFonts w:ascii="Times New Roman" w:hAnsi="Times New Roman" w:cs="Times New Roman"/>
          <w:b/>
          <w:sz w:val="24"/>
          <w:szCs w:val="24"/>
          <w:lang w:eastAsia="zh-CN"/>
        </w:rPr>
        <w:t xml:space="preserve">章  </w:t>
      </w:r>
      <w:r>
        <w:rPr>
          <w:rFonts w:hint="eastAsia" w:ascii="Times New Roman" w:hAnsi="Times New Roman" w:cs="Times New Roman"/>
          <w:b/>
          <w:sz w:val="24"/>
          <w:szCs w:val="24"/>
          <w:lang w:val="en-US" w:eastAsia="zh-CN"/>
        </w:rPr>
        <w:t>总体</w:t>
      </w:r>
      <w:r>
        <w:rPr>
          <w:rFonts w:hint="eastAsia" w:ascii="Times New Roman" w:hAnsi="Times New Roman" w:cs="Times New Roman"/>
          <w:b/>
          <w:sz w:val="24"/>
          <w:szCs w:val="24"/>
          <w:lang w:eastAsia="zh-CN"/>
        </w:rPr>
        <w:t>要求</w:t>
      </w:r>
    </w:p>
    <w:p w14:paraId="56A4C468">
      <w:pPr>
        <w:pStyle w:val="6"/>
        <w:spacing w:line="362" w:lineRule="auto"/>
        <w:ind w:left="609" w:right="632" w:firstLine="480"/>
        <w:jc w:val="both"/>
        <w:rPr>
          <w:rFonts w:ascii="Times New Roman" w:hAnsi="Times New Roman" w:cs="Times New Roman"/>
          <w:lang w:eastAsia="zh-CN"/>
        </w:rPr>
      </w:pPr>
      <w:r>
        <w:rPr>
          <w:rFonts w:hint="eastAsia" w:ascii="Times New Roman" w:hAnsi="Times New Roman" w:cs="Times New Roman"/>
          <w:lang w:eastAsia="zh-CN"/>
        </w:rPr>
        <w:t>该章主要规定了</w:t>
      </w:r>
      <w:r>
        <w:rPr>
          <w:rFonts w:hint="eastAsia" w:ascii="Times New Roman" w:hAnsi="Times New Roman" w:cs="Times New Roman"/>
          <w:lang w:val="en-US" w:eastAsia="zh-CN"/>
        </w:rPr>
        <w:t>干散货港口精细化管控</w:t>
      </w:r>
      <w:r>
        <w:rPr>
          <w:rFonts w:hint="eastAsia" w:ascii="Times New Roman" w:hAnsi="Times New Roman" w:cs="Times New Roman"/>
          <w:lang w:eastAsia="zh-CN"/>
        </w:rPr>
        <w:t>的</w:t>
      </w:r>
      <w:r>
        <w:rPr>
          <w:rFonts w:hint="eastAsia" w:ascii="Times New Roman" w:hAnsi="Times New Roman" w:cs="Times New Roman"/>
          <w:lang w:val="en-US" w:eastAsia="zh-CN"/>
        </w:rPr>
        <w:t>总体</w:t>
      </w:r>
      <w:r>
        <w:rPr>
          <w:rFonts w:hint="eastAsia" w:ascii="Times New Roman" w:hAnsi="Times New Roman" w:cs="Times New Roman"/>
          <w:lang w:eastAsia="zh-CN"/>
        </w:rPr>
        <w:t>要求，主要从</w:t>
      </w:r>
      <w:r>
        <w:rPr>
          <w:rFonts w:hint="eastAsia" w:ascii="Times New Roman" w:hAnsi="Times New Roman" w:cs="Times New Roman"/>
          <w:lang w:val="en-US" w:eastAsia="zh-CN"/>
        </w:rPr>
        <w:t>装卸工艺和设备选购、除尘抑尘</w:t>
      </w:r>
      <w:r>
        <w:rPr>
          <w:rFonts w:hint="eastAsia" w:ascii="Times New Roman" w:hAnsi="Times New Roman" w:cs="Times New Roman"/>
          <w:lang w:eastAsia="zh-CN"/>
        </w:rPr>
        <w:t>设备配备与</w:t>
      </w:r>
      <w:r>
        <w:rPr>
          <w:rFonts w:hint="eastAsia" w:ascii="Times New Roman" w:hAnsi="Times New Roman" w:cs="Times New Roman"/>
          <w:lang w:val="en-US" w:eastAsia="zh-CN"/>
        </w:rPr>
        <w:t>运行</w:t>
      </w:r>
      <w:r>
        <w:rPr>
          <w:rFonts w:hint="eastAsia" w:ascii="Times New Roman" w:hAnsi="Times New Roman" w:cs="Times New Roman"/>
          <w:lang w:eastAsia="zh-CN"/>
        </w:rPr>
        <w:t>维护、</w:t>
      </w:r>
      <w:r>
        <w:rPr>
          <w:rFonts w:hint="eastAsia" w:ascii="Times New Roman" w:hAnsi="Times New Roman" w:cs="Times New Roman"/>
          <w:lang w:val="en-US" w:eastAsia="zh-CN"/>
        </w:rPr>
        <w:t>作业操作规范、道路铺装</w:t>
      </w:r>
      <w:r>
        <w:rPr>
          <w:rFonts w:hint="eastAsia" w:ascii="Times New Roman" w:hAnsi="Times New Roman" w:cs="Times New Roman"/>
          <w:lang w:eastAsia="zh-CN"/>
        </w:rPr>
        <w:t>硬化、</w:t>
      </w:r>
      <w:r>
        <w:rPr>
          <w:rFonts w:hint="eastAsia" w:ascii="Times New Roman" w:hAnsi="Times New Roman" w:cs="Times New Roman"/>
          <w:lang w:val="en-US" w:eastAsia="zh-CN"/>
        </w:rPr>
        <w:t>港区绿化、制度建设、</w:t>
      </w:r>
      <w:r>
        <w:rPr>
          <w:rFonts w:hint="eastAsia" w:ascii="Times New Roman" w:hAnsi="Times New Roman" w:cs="Times New Roman"/>
          <w:lang w:eastAsia="zh-CN"/>
        </w:rPr>
        <w:t>日常管理、</w:t>
      </w:r>
      <w:r>
        <w:rPr>
          <w:rFonts w:hint="eastAsia" w:ascii="Times New Roman" w:hAnsi="Times New Roman" w:cs="Times New Roman"/>
          <w:lang w:val="en-US" w:eastAsia="zh-CN"/>
        </w:rPr>
        <w:t>特殊时段应急措施、技术发展导向</w:t>
      </w:r>
      <w:r>
        <w:rPr>
          <w:rFonts w:hint="eastAsia" w:ascii="Times New Roman" w:hAnsi="Times New Roman" w:cs="Times New Roman"/>
          <w:lang w:eastAsia="zh-CN"/>
        </w:rPr>
        <w:t>等方面对</w:t>
      </w:r>
      <w:r>
        <w:rPr>
          <w:rFonts w:hint="eastAsia" w:ascii="Times New Roman" w:hAnsi="Times New Roman" w:cs="Times New Roman"/>
          <w:lang w:val="en-US" w:eastAsia="zh-CN"/>
        </w:rPr>
        <w:t>干散货港口颗粒物管控</w:t>
      </w:r>
      <w:r>
        <w:rPr>
          <w:rFonts w:hint="eastAsia" w:ascii="Times New Roman" w:hAnsi="Times New Roman" w:cs="Times New Roman"/>
          <w:lang w:eastAsia="zh-CN"/>
        </w:rPr>
        <w:t>提出的通用要求。</w:t>
      </w:r>
    </w:p>
    <w:p w14:paraId="1B9C331D">
      <w:pPr>
        <w:spacing w:before="240" w:after="240"/>
        <w:ind w:left="607"/>
        <w:rPr>
          <w:rFonts w:ascii="Times New Roman" w:hAnsi="Times New Roman" w:cs="Times New Roman"/>
          <w:b/>
          <w:sz w:val="24"/>
          <w:szCs w:val="24"/>
          <w:lang w:eastAsia="zh-CN"/>
        </w:rPr>
      </w:pPr>
      <w:r>
        <w:rPr>
          <w:rFonts w:hint="eastAsia" w:ascii="Times New Roman" w:hAnsi="Times New Roman" w:cs="Times New Roman"/>
          <w:b/>
          <w:sz w:val="24"/>
          <w:szCs w:val="24"/>
          <w:lang w:eastAsia="zh-CN"/>
        </w:rPr>
        <w:t xml:space="preserve">第5章 </w:t>
      </w:r>
      <w:r>
        <w:rPr>
          <w:rFonts w:hint="eastAsia" w:ascii="Times New Roman" w:hAnsi="Times New Roman" w:cs="Times New Roman"/>
          <w:b/>
          <w:sz w:val="24"/>
          <w:szCs w:val="24"/>
          <w:lang w:val="en-US" w:eastAsia="zh-CN"/>
        </w:rPr>
        <w:t xml:space="preserve"> 装卸</w:t>
      </w:r>
    </w:p>
    <w:p w14:paraId="434C10E1">
      <w:pPr>
        <w:pStyle w:val="6"/>
        <w:spacing w:line="362" w:lineRule="auto"/>
        <w:ind w:left="609" w:right="632" w:firstLine="480"/>
        <w:jc w:val="both"/>
        <w:rPr>
          <w:rFonts w:hint="eastAsia" w:ascii="Times New Roman" w:hAnsi="Times New Roman" w:cs="Times New Roman"/>
          <w:lang w:val="en-US" w:eastAsia="zh-CN"/>
        </w:rPr>
      </w:pPr>
      <w:r>
        <w:rPr>
          <w:rFonts w:ascii="Times New Roman" w:hAnsi="Times New Roman" w:cs="Times New Roman"/>
          <w:lang w:eastAsia="zh-CN"/>
        </w:rPr>
        <w:t>该</w:t>
      </w:r>
      <w:r>
        <w:rPr>
          <w:rFonts w:hint="eastAsia" w:ascii="Times New Roman" w:hAnsi="Times New Roman" w:cs="Times New Roman"/>
          <w:lang w:eastAsia="zh-CN"/>
        </w:rPr>
        <w:t>章</w:t>
      </w:r>
      <w:r>
        <w:rPr>
          <w:rFonts w:ascii="Times New Roman" w:hAnsi="Times New Roman" w:cs="Times New Roman"/>
          <w:lang w:eastAsia="zh-CN"/>
        </w:rPr>
        <w:t>主要规定了</w:t>
      </w:r>
      <w:r>
        <w:rPr>
          <w:rFonts w:hint="eastAsia" w:ascii="Times New Roman" w:hAnsi="Times New Roman" w:cs="Times New Roman"/>
          <w:lang w:val="en-US" w:eastAsia="zh-CN"/>
        </w:rPr>
        <w:t>干散货港口装卸船和装卸车（火车、汽车）环节的颗粒物管控要求，对不同装卸设备的除尘抑尘措施配套及作业提出了要求。</w:t>
      </w:r>
    </w:p>
    <w:p w14:paraId="052BCB9F">
      <w:pPr>
        <w:pStyle w:val="6"/>
        <w:spacing w:line="362" w:lineRule="auto"/>
        <w:ind w:left="609" w:right="632" w:firstLine="480"/>
        <w:jc w:val="both"/>
        <w:rPr>
          <w:rFonts w:hint="default" w:ascii="Times New Roman" w:hAnsi="Times New Roman" w:cs="Times New Roman"/>
          <w:lang w:val="en-US" w:eastAsia="zh-CN"/>
        </w:rPr>
      </w:pPr>
      <w:r>
        <w:rPr>
          <w:rFonts w:hint="eastAsia" w:ascii="Times New Roman" w:hAnsi="Times New Roman" w:cs="Times New Roman"/>
          <w:lang w:val="en-US" w:eastAsia="zh-CN"/>
        </w:rPr>
        <w:t>装卸船作业考虑了专业化装船机、卸船机及门座式起重机作业的防尘抑尘措施配套要求。装卸车作业分火车装卸和汽车装卸两方面分别提出要求，其中火车装卸进一步分为专业化装车机、装车楼作业要求和通用装载机装卸要求。</w:t>
      </w:r>
    </w:p>
    <w:p w14:paraId="699138A3">
      <w:pPr>
        <w:spacing w:before="240" w:after="240"/>
        <w:ind w:left="607"/>
        <w:rPr>
          <w:rFonts w:hint="eastAsia" w:ascii="Times New Roman" w:hAnsi="Times New Roman" w:cs="Times New Roman"/>
          <w:b/>
          <w:sz w:val="24"/>
          <w:szCs w:val="24"/>
          <w:lang w:eastAsia="zh-CN"/>
        </w:rPr>
      </w:pPr>
      <w:r>
        <w:rPr>
          <w:rFonts w:hint="eastAsia" w:ascii="Times New Roman" w:hAnsi="Times New Roman" w:cs="Times New Roman"/>
          <w:b/>
          <w:sz w:val="24"/>
          <w:szCs w:val="24"/>
          <w:lang w:eastAsia="zh-CN"/>
        </w:rPr>
        <w:t xml:space="preserve">第6章  </w:t>
      </w:r>
      <w:r>
        <w:rPr>
          <w:rFonts w:hint="eastAsia" w:ascii="Times New Roman" w:hAnsi="Times New Roman" w:cs="Times New Roman"/>
          <w:b/>
          <w:sz w:val="24"/>
          <w:szCs w:val="24"/>
          <w:lang w:val="en-US" w:eastAsia="zh-CN"/>
        </w:rPr>
        <w:t>输运</w:t>
      </w:r>
    </w:p>
    <w:p w14:paraId="0685E797">
      <w:pPr>
        <w:pStyle w:val="6"/>
        <w:spacing w:line="362" w:lineRule="auto"/>
        <w:ind w:left="609" w:right="632" w:firstLine="480"/>
        <w:jc w:val="both"/>
        <w:rPr>
          <w:rFonts w:hint="eastAsia" w:ascii="Times New Roman" w:hAnsi="Times New Roman" w:cs="Times New Roman"/>
          <w:lang w:val="en-US" w:eastAsia="zh-CN"/>
        </w:rPr>
      </w:pPr>
      <w:r>
        <w:rPr>
          <w:rFonts w:ascii="Times New Roman" w:hAnsi="Times New Roman" w:cs="Times New Roman"/>
          <w:lang w:eastAsia="zh-CN"/>
        </w:rPr>
        <w:t>该</w:t>
      </w:r>
      <w:r>
        <w:rPr>
          <w:rFonts w:hint="eastAsia" w:ascii="Times New Roman" w:hAnsi="Times New Roman" w:cs="Times New Roman"/>
          <w:lang w:eastAsia="zh-CN"/>
        </w:rPr>
        <w:t>章</w:t>
      </w:r>
      <w:r>
        <w:rPr>
          <w:rFonts w:ascii="Times New Roman" w:hAnsi="Times New Roman" w:cs="Times New Roman"/>
          <w:lang w:eastAsia="zh-CN"/>
        </w:rPr>
        <w:t>主要规定了</w:t>
      </w:r>
      <w:r>
        <w:rPr>
          <w:rFonts w:hint="eastAsia" w:ascii="Times New Roman" w:hAnsi="Times New Roman" w:cs="Times New Roman"/>
          <w:lang w:val="en-US" w:eastAsia="zh-CN"/>
        </w:rPr>
        <w:t>带式输送机和汽车输运的颗粒物管控要求。</w:t>
      </w:r>
    </w:p>
    <w:p w14:paraId="0E440FCE">
      <w:pPr>
        <w:pStyle w:val="6"/>
        <w:spacing w:line="362" w:lineRule="auto"/>
        <w:ind w:left="609" w:right="632" w:firstLine="480"/>
        <w:jc w:val="both"/>
        <w:rPr>
          <w:rFonts w:hint="default" w:ascii="Times New Roman" w:hAnsi="Times New Roman" w:cs="Times New Roman"/>
          <w:lang w:val="en-US" w:eastAsia="zh-CN"/>
        </w:rPr>
      </w:pPr>
      <w:r>
        <w:rPr>
          <w:rFonts w:hint="eastAsia" w:ascii="Times New Roman" w:hAnsi="Times New Roman" w:cs="Times New Roman"/>
          <w:lang w:val="en-US" w:eastAsia="zh-CN"/>
        </w:rPr>
        <w:t>带式输送机的防尘抑尘主要考虑封闭、防撒落及主要起尘节点配套除尘设施；汽车输运的防尘抑尘主要考虑车辆密闭、固定路线行驶、配备射雾器。此外，对港区内道路清扫、堆场出入口设置车辆冲洗设施等提出了相应要求。</w:t>
      </w:r>
    </w:p>
    <w:p w14:paraId="498B63B3">
      <w:pPr>
        <w:spacing w:before="240" w:after="240"/>
        <w:ind w:left="607"/>
        <w:rPr>
          <w:rFonts w:hint="eastAsia" w:ascii="Times New Roman" w:hAnsi="Times New Roman" w:cs="Times New Roman"/>
          <w:b/>
          <w:sz w:val="24"/>
          <w:szCs w:val="24"/>
          <w:lang w:eastAsia="zh-CN"/>
        </w:rPr>
      </w:pPr>
      <w:r>
        <w:rPr>
          <w:rFonts w:hint="eastAsia" w:ascii="Times New Roman" w:hAnsi="Times New Roman" w:cs="Times New Roman"/>
          <w:b/>
          <w:sz w:val="24"/>
          <w:szCs w:val="24"/>
          <w:lang w:eastAsia="zh-CN"/>
        </w:rPr>
        <w:t xml:space="preserve">第7章 </w:t>
      </w:r>
      <w:r>
        <w:rPr>
          <w:rFonts w:hint="eastAsia" w:ascii="Times New Roman" w:hAnsi="Times New Roman" w:cs="Times New Roman"/>
          <w:b/>
          <w:sz w:val="24"/>
          <w:szCs w:val="24"/>
          <w:lang w:val="en-US" w:eastAsia="zh-CN"/>
        </w:rPr>
        <w:t>堆取料</w:t>
      </w:r>
    </w:p>
    <w:p w14:paraId="065D8DA1">
      <w:pPr>
        <w:pStyle w:val="6"/>
        <w:spacing w:line="362" w:lineRule="auto"/>
        <w:ind w:left="609" w:right="632" w:firstLine="480"/>
        <w:jc w:val="both"/>
        <w:rPr>
          <w:rFonts w:hint="default" w:ascii="Times New Roman" w:hAnsi="Times New Roman" w:cs="Times New Roman"/>
          <w:lang w:val="en-US" w:eastAsia="zh-CN"/>
        </w:rPr>
      </w:pPr>
      <w:r>
        <w:rPr>
          <w:rFonts w:hint="eastAsia" w:ascii="Times New Roman" w:hAnsi="Times New Roman" w:cs="Times New Roman"/>
          <w:lang w:val="en-US" w:eastAsia="zh-CN"/>
        </w:rPr>
        <w:t>该章主要规定了堆取料作业的颗粒物管控要求。包括采用专业化堆料机、取料机和堆取料机作业的防尘抑尘要求和采用装载机、堆高机的防尘抑尘要求。</w:t>
      </w:r>
    </w:p>
    <w:p w14:paraId="0C9180AF">
      <w:pPr>
        <w:spacing w:before="240" w:after="240"/>
        <w:ind w:left="607"/>
        <w:rPr>
          <w:rFonts w:hint="eastAsia" w:ascii="Times New Roman" w:hAnsi="Times New Roman" w:cs="Times New Roman"/>
          <w:b/>
          <w:sz w:val="24"/>
          <w:szCs w:val="24"/>
          <w:lang w:eastAsia="zh-CN"/>
        </w:rPr>
      </w:pPr>
      <w:r>
        <w:rPr>
          <w:rFonts w:hint="eastAsia" w:ascii="Times New Roman" w:hAnsi="Times New Roman" w:cs="Times New Roman"/>
          <w:b/>
          <w:sz w:val="24"/>
          <w:szCs w:val="24"/>
          <w:lang w:eastAsia="zh-CN"/>
        </w:rPr>
        <w:t>第</w:t>
      </w:r>
      <w:r>
        <w:rPr>
          <w:rFonts w:hint="eastAsia" w:ascii="Times New Roman" w:hAnsi="Times New Roman" w:cs="Times New Roman"/>
          <w:b/>
          <w:sz w:val="24"/>
          <w:szCs w:val="24"/>
          <w:lang w:val="en-US" w:eastAsia="zh-CN"/>
        </w:rPr>
        <w:t>8</w:t>
      </w:r>
      <w:r>
        <w:rPr>
          <w:rFonts w:hint="eastAsia" w:ascii="Times New Roman" w:hAnsi="Times New Roman" w:cs="Times New Roman"/>
          <w:b/>
          <w:sz w:val="24"/>
          <w:szCs w:val="24"/>
          <w:lang w:eastAsia="zh-CN"/>
        </w:rPr>
        <w:t xml:space="preserve">章 </w:t>
      </w:r>
      <w:r>
        <w:rPr>
          <w:rFonts w:hint="eastAsia" w:ascii="Times New Roman" w:hAnsi="Times New Roman" w:cs="Times New Roman"/>
          <w:b/>
          <w:sz w:val="24"/>
          <w:szCs w:val="24"/>
          <w:lang w:val="en-US" w:eastAsia="zh-CN"/>
        </w:rPr>
        <w:t>堆存</w:t>
      </w:r>
    </w:p>
    <w:p w14:paraId="15320B67">
      <w:pPr>
        <w:pStyle w:val="6"/>
        <w:spacing w:line="362" w:lineRule="auto"/>
        <w:ind w:left="609" w:right="632" w:firstLine="480"/>
        <w:jc w:val="both"/>
        <w:rPr>
          <w:rFonts w:hint="default" w:ascii="Times New Roman" w:hAnsi="Times New Roman" w:cs="Times New Roman"/>
          <w:lang w:val="en-US" w:eastAsia="zh-CN"/>
        </w:rPr>
      </w:pPr>
      <w:r>
        <w:rPr>
          <w:rFonts w:ascii="Times New Roman" w:hAnsi="Times New Roman" w:cs="Times New Roman"/>
          <w:lang w:eastAsia="zh-CN"/>
        </w:rPr>
        <w:t>该</w:t>
      </w:r>
      <w:r>
        <w:rPr>
          <w:rFonts w:hint="eastAsia" w:ascii="Times New Roman" w:hAnsi="Times New Roman" w:cs="Times New Roman"/>
          <w:lang w:eastAsia="zh-CN"/>
        </w:rPr>
        <w:t>章</w:t>
      </w:r>
      <w:r>
        <w:rPr>
          <w:rFonts w:ascii="Times New Roman" w:hAnsi="Times New Roman" w:cs="Times New Roman"/>
          <w:lang w:eastAsia="zh-CN"/>
        </w:rPr>
        <w:t>主要规定了</w:t>
      </w:r>
      <w:r>
        <w:rPr>
          <w:rFonts w:hint="eastAsia" w:ascii="Times New Roman" w:hAnsi="Times New Roman" w:cs="Times New Roman"/>
          <w:lang w:val="en-US" w:eastAsia="zh-CN"/>
        </w:rPr>
        <w:t>静态堆存环节的颗粒物管控要求，分别从堆存方式选择、露天堆场配套建设防风抑尘网、配置喷枪喷淋设施、堆垛苫盖或喷洒抑尘剂、场路隔离等方面给出了相应规定。同时，针对小型堆场，在满足粉尘控制要求的前提下适当降低对喷淋设施的配置要求。</w:t>
      </w:r>
    </w:p>
    <w:p w14:paraId="04D3DABA">
      <w:pPr>
        <w:spacing w:before="240" w:after="240"/>
        <w:ind w:left="607"/>
        <w:rPr>
          <w:rFonts w:hint="default" w:ascii="Times New Roman" w:hAnsi="Times New Roman" w:cs="Times New Roman"/>
          <w:b/>
          <w:sz w:val="24"/>
          <w:szCs w:val="24"/>
          <w:lang w:val="en-US" w:eastAsia="zh-CN"/>
        </w:rPr>
      </w:pPr>
      <w:r>
        <w:rPr>
          <w:rFonts w:hint="eastAsia" w:ascii="Times New Roman" w:hAnsi="Times New Roman" w:cs="Times New Roman"/>
          <w:b/>
          <w:sz w:val="24"/>
          <w:szCs w:val="24"/>
          <w:lang w:eastAsia="zh-CN"/>
        </w:rPr>
        <w:t>第</w:t>
      </w:r>
      <w:r>
        <w:rPr>
          <w:rFonts w:hint="eastAsia" w:ascii="Times New Roman" w:hAnsi="Times New Roman" w:cs="Times New Roman"/>
          <w:b/>
          <w:sz w:val="24"/>
          <w:szCs w:val="24"/>
          <w:lang w:val="en-US" w:eastAsia="zh-CN"/>
        </w:rPr>
        <w:t>9</w:t>
      </w:r>
      <w:r>
        <w:rPr>
          <w:rFonts w:hint="eastAsia" w:ascii="Times New Roman" w:hAnsi="Times New Roman" w:cs="Times New Roman"/>
          <w:b/>
          <w:sz w:val="24"/>
          <w:szCs w:val="24"/>
          <w:lang w:eastAsia="zh-CN"/>
        </w:rPr>
        <w:t xml:space="preserve">章 </w:t>
      </w:r>
      <w:r>
        <w:rPr>
          <w:rFonts w:hint="eastAsia" w:ascii="Times New Roman" w:hAnsi="Times New Roman" w:cs="Times New Roman"/>
          <w:b/>
          <w:sz w:val="24"/>
          <w:szCs w:val="24"/>
          <w:lang w:val="en-US" w:eastAsia="zh-CN"/>
        </w:rPr>
        <w:t>日常环境管理要求</w:t>
      </w:r>
    </w:p>
    <w:p w14:paraId="232828AA">
      <w:pPr>
        <w:pStyle w:val="6"/>
        <w:spacing w:line="362" w:lineRule="auto"/>
        <w:ind w:left="609" w:right="632" w:firstLine="480"/>
        <w:jc w:val="both"/>
        <w:rPr>
          <w:rFonts w:hint="default" w:ascii="Times New Roman" w:hAnsi="Times New Roman" w:cs="Times New Roman"/>
          <w:lang w:val="en-US" w:eastAsia="zh-CN"/>
        </w:rPr>
      </w:pPr>
      <w:r>
        <w:rPr>
          <w:rFonts w:hint="eastAsia" w:ascii="Times New Roman" w:hAnsi="Times New Roman" w:cs="Times New Roman"/>
          <w:lang w:eastAsia="zh-CN"/>
        </w:rPr>
        <w:t>该章主要</w:t>
      </w:r>
      <w:r>
        <w:rPr>
          <w:rFonts w:hint="eastAsia" w:ascii="Times New Roman" w:hAnsi="Times New Roman" w:cs="Times New Roman"/>
          <w:lang w:val="en-US" w:eastAsia="zh-CN"/>
        </w:rPr>
        <w:t>从三个方面（日常运维及巡检、台账记录及存档、监测及应急响应）对干散货港口企业日常环境管理提出了具体要求。其中，日常运维及巡检部分从制度、项目、流程等方面给出了相应规定。台账记录及存档部分从台账记录内容及形式给出了相应规定。监测及应急响应部分从监测方案、监测频次、监测方法、排放限值及应急预案制定、应急培训和演练等方面给出了相应规定。</w:t>
      </w:r>
    </w:p>
    <w:p w14:paraId="3950A7FE">
      <w:pPr>
        <w:pStyle w:val="2"/>
        <w:spacing w:before="240" w:afterLines="50"/>
        <w:ind w:left="607"/>
        <w:rPr>
          <w:rFonts w:ascii="Times New Roman" w:hAnsi="Times New Roman" w:eastAsia="黑体" w:cs="Times New Roman"/>
          <w:spacing w:val="-2"/>
          <w:sz w:val="28"/>
          <w:szCs w:val="28"/>
          <w:lang w:eastAsia="zh-CN"/>
        </w:rPr>
      </w:pPr>
      <w:bookmarkStart w:id="2" w:name="_Toc22486"/>
      <w:r>
        <w:rPr>
          <w:rFonts w:hint="eastAsia" w:ascii="Times New Roman" w:hAnsi="Times New Roman" w:eastAsia="黑体" w:cs="Times New Roman"/>
          <w:spacing w:val="-2"/>
          <w:sz w:val="28"/>
          <w:szCs w:val="28"/>
          <w:lang w:val="en-US" w:eastAsia="zh-CN"/>
        </w:rPr>
        <w:t>三</w:t>
      </w:r>
      <w:r>
        <w:rPr>
          <w:rFonts w:ascii="Times New Roman" w:hAnsi="Times New Roman" w:eastAsia="黑体" w:cs="Times New Roman"/>
          <w:spacing w:val="-2"/>
          <w:sz w:val="28"/>
          <w:szCs w:val="28"/>
          <w:lang w:eastAsia="zh-CN"/>
        </w:rPr>
        <w:t>、综述报告、</w:t>
      </w:r>
      <w:r>
        <w:rPr>
          <w:rFonts w:hint="eastAsia" w:ascii="Times New Roman" w:hAnsi="Times New Roman" w:eastAsia="黑体" w:cs="Times New Roman"/>
          <w:spacing w:val="-2"/>
          <w:sz w:val="28"/>
          <w:szCs w:val="28"/>
          <w:lang w:eastAsia="zh-CN"/>
        </w:rPr>
        <w:t>调研报告</w:t>
      </w:r>
      <w:bookmarkEnd w:id="2"/>
    </w:p>
    <w:p w14:paraId="2538E0C2">
      <w:pPr>
        <w:spacing w:before="240" w:after="240"/>
        <w:ind w:left="607"/>
        <w:rPr>
          <w:rFonts w:hint="default" w:ascii="Times New Roman" w:hAnsi="Times New Roman" w:cs="Times New Roman"/>
          <w:b/>
          <w:sz w:val="24"/>
          <w:szCs w:val="24"/>
          <w:lang w:val="en-US" w:eastAsia="zh-CN"/>
        </w:rPr>
      </w:pPr>
      <w:r>
        <w:rPr>
          <w:rFonts w:ascii="Times New Roman" w:hAnsi="Times New Roman" w:cs="Times New Roman"/>
          <w:b/>
          <w:sz w:val="24"/>
          <w:szCs w:val="24"/>
          <w:lang w:eastAsia="zh-CN"/>
        </w:rPr>
        <w:t>（</w:t>
      </w:r>
      <w:r>
        <w:rPr>
          <w:rFonts w:hint="eastAsia" w:ascii="Times New Roman" w:hAnsi="Times New Roman" w:cs="Times New Roman"/>
          <w:b/>
          <w:sz w:val="24"/>
          <w:szCs w:val="24"/>
          <w:lang w:val="en-US" w:eastAsia="zh-CN"/>
        </w:rPr>
        <w:t>一</w:t>
      </w:r>
      <w:r>
        <w:rPr>
          <w:rFonts w:ascii="Times New Roman" w:hAnsi="Times New Roman" w:cs="Times New Roman"/>
          <w:b/>
          <w:sz w:val="24"/>
          <w:szCs w:val="24"/>
          <w:lang w:eastAsia="zh-CN"/>
        </w:rPr>
        <w:t>）</w:t>
      </w:r>
      <w:r>
        <w:rPr>
          <w:rFonts w:hint="eastAsia" w:ascii="Times New Roman" w:hAnsi="Times New Roman" w:cs="Times New Roman"/>
          <w:b/>
          <w:sz w:val="24"/>
          <w:szCs w:val="24"/>
          <w:lang w:val="en-US" w:eastAsia="zh-CN"/>
        </w:rPr>
        <w:t>调研目的</w:t>
      </w:r>
    </w:p>
    <w:p w14:paraId="51C9B0D0">
      <w:pPr>
        <w:pStyle w:val="6"/>
        <w:spacing w:line="362" w:lineRule="auto"/>
        <w:ind w:left="609" w:right="632" w:firstLine="480"/>
        <w:jc w:val="both"/>
        <w:rPr>
          <w:rFonts w:hint="default" w:ascii="Times New Roman" w:hAnsi="Times New Roman" w:cs="Times New Roman"/>
          <w:lang w:val="en-US" w:eastAsia="zh-CN"/>
        </w:rPr>
      </w:pPr>
      <w:r>
        <w:rPr>
          <w:rFonts w:hint="eastAsia" w:ascii="Times New Roman" w:hAnsi="Times New Roman" w:cs="Times New Roman"/>
          <w:lang w:val="en-US" w:eastAsia="zh-CN"/>
        </w:rPr>
        <w:t>为了更切合实际的编制《干散货港口颗粒物精细化管控技术规范》相关内容，在项目启动前期，项目组立即针对全国范围内的干散货港口企业开展了调研和走访，实地踏勘我国沿海及内河干散货港口的建设情况及颗粒物污染防治措施配备现状。同时，项目组深入研读国内针对干散货港口粉尘污染防控的相关设计规范，对标最新的干散货港口颗粒物管控要求，全面识别干散货港口颗粒物污染排放节点，</w:t>
      </w:r>
      <w:r>
        <w:rPr>
          <w:rFonts w:hint="eastAsia" w:ascii="Times New Roman" w:hAnsi="Times New Roman" w:cs="Times New Roman"/>
          <w:lang w:eastAsia="zh-CN"/>
        </w:rPr>
        <w:t>分析现有污染治理措施与管理手段的</w:t>
      </w:r>
      <w:r>
        <w:rPr>
          <w:rFonts w:hint="eastAsia" w:ascii="Times New Roman" w:hAnsi="Times New Roman" w:cs="Times New Roman"/>
          <w:lang w:val="en-US" w:eastAsia="zh-CN"/>
        </w:rPr>
        <w:t>实施情况及效果</w:t>
      </w:r>
      <w:r>
        <w:rPr>
          <w:rFonts w:hint="eastAsia" w:ascii="Times New Roman" w:hAnsi="Times New Roman" w:cs="Times New Roman"/>
          <w:lang w:eastAsia="zh-CN"/>
        </w:rPr>
        <w:t>。</w:t>
      </w:r>
    </w:p>
    <w:p w14:paraId="4FF315D1">
      <w:pPr>
        <w:spacing w:before="240" w:after="240"/>
        <w:ind w:left="607"/>
        <w:rPr>
          <w:rFonts w:hint="default" w:ascii="Times New Roman" w:hAnsi="Times New Roman" w:cs="Times New Roman"/>
          <w:b/>
          <w:sz w:val="24"/>
          <w:szCs w:val="24"/>
          <w:lang w:val="en-US" w:eastAsia="zh-CN"/>
        </w:rPr>
      </w:pPr>
      <w:r>
        <w:rPr>
          <w:rFonts w:ascii="Times New Roman" w:hAnsi="Times New Roman" w:cs="Times New Roman"/>
          <w:b/>
          <w:sz w:val="24"/>
          <w:szCs w:val="24"/>
          <w:lang w:eastAsia="zh-CN"/>
        </w:rPr>
        <w:t>（</w:t>
      </w:r>
      <w:r>
        <w:rPr>
          <w:rFonts w:hint="eastAsia" w:ascii="Times New Roman" w:hAnsi="Times New Roman" w:cs="Times New Roman"/>
          <w:b/>
          <w:sz w:val="24"/>
          <w:szCs w:val="24"/>
          <w:lang w:val="en-US" w:eastAsia="zh-CN"/>
        </w:rPr>
        <w:t>二</w:t>
      </w:r>
      <w:r>
        <w:rPr>
          <w:rFonts w:ascii="Times New Roman" w:hAnsi="Times New Roman" w:cs="Times New Roman"/>
          <w:b/>
          <w:sz w:val="24"/>
          <w:szCs w:val="24"/>
          <w:lang w:eastAsia="zh-CN"/>
        </w:rPr>
        <w:t>）</w:t>
      </w:r>
      <w:r>
        <w:rPr>
          <w:rFonts w:hint="eastAsia" w:ascii="Times New Roman" w:hAnsi="Times New Roman" w:cs="Times New Roman"/>
          <w:b/>
          <w:sz w:val="24"/>
          <w:szCs w:val="24"/>
          <w:lang w:val="en-US" w:eastAsia="zh-CN"/>
        </w:rPr>
        <w:t>调研范围</w:t>
      </w:r>
    </w:p>
    <w:p w14:paraId="07EF3498">
      <w:pPr>
        <w:pStyle w:val="6"/>
        <w:spacing w:line="362" w:lineRule="auto"/>
        <w:ind w:left="609" w:right="632" w:firstLine="480"/>
        <w:jc w:val="both"/>
        <w:rPr>
          <w:rFonts w:hint="eastAsia" w:ascii="Times New Roman" w:hAnsi="Times New Roman" w:cs="Times New Roman"/>
          <w:lang w:val="en-US" w:eastAsia="zh-CN"/>
        </w:rPr>
      </w:pPr>
      <w:r>
        <w:rPr>
          <w:rFonts w:hint="eastAsia" w:ascii="Times New Roman" w:hAnsi="Times New Roman" w:cs="Times New Roman"/>
          <w:lang w:val="en-US" w:eastAsia="zh-CN"/>
        </w:rPr>
        <w:t>我国港口干散货吞吐量较大，涉及货种主要包括煤炭、金属矿石、非金属矿石、粮食、水泥及矿建材料等，其中煤炭和铁矿石在码头运输中占据主导地位。沿海干散货泊位主要处理进出口的大宗干散货，如铁矿石、煤炭等，与国际市场联系紧密；内河干散货泊位则以内贸运输为主，侧重于服务内河沿线的经济区域，承担着区域内物资运输和集散的重要任务。环渤海地区拥有我国最大的干散货港口集群，分布有营口港、秦皇岛港、唐山港、天津港、黄骅港、烟台港、青岛港和日照港等主要干散货港口，担负着我国北煤南运与铁矿石进口接卸的主要任务，干散货吞吐量规模较大。长江流域以其通航里程长、支流众多、终年不冻等优势，成为干散货泊位最为集中的内河流域。</w:t>
      </w:r>
    </w:p>
    <w:p w14:paraId="62911C35">
      <w:pPr>
        <w:pStyle w:val="6"/>
        <w:spacing w:line="362" w:lineRule="auto"/>
        <w:ind w:left="609" w:right="632" w:firstLine="480"/>
        <w:jc w:val="both"/>
        <w:rPr>
          <w:rFonts w:hint="eastAsia" w:ascii="Times New Roman" w:hAnsi="Times New Roman" w:cs="Times New Roman"/>
          <w:lang w:val="en-US" w:eastAsia="zh-CN"/>
        </w:rPr>
      </w:pPr>
      <w:r>
        <w:rPr>
          <w:rFonts w:hint="eastAsia" w:ascii="Times New Roman" w:hAnsi="Times New Roman" w:cs="Times New Roman"/>
          <w:lang w:val="en-US" w:eastAsia="zh-CN"/>
        </w:rPr>
        <w:t>根据本项目的编制需求，项目组从全国沿海及内河港口中选出具有代表性的港口组织开展调研，包括大连港、营口港、唐山港、黄骅港、秦皇岛港、日照港、连云港港及浙江宁波、舟山、杭州、嘉兴、绍兴、湖州、台州、温州和江苏镇江等，对以上各港口中从事干散货作业的码头企业为对象，采用线上调研、现场座谈和实地踏勘三种形式相结合。现场座谈及实地踏勘照片如图3-1所示。</w:t>
      </w:r>
    </w:p>
    <w:tbl>
      <w:tblPr>
        <w:tblStyle w:val="15"/>
        <w:tblW w:w="0" w:type="auto"/>
        <w:tblInd w:w="161"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644"/>
        <w:gridCol w:w="4644"/>
      </w:tblGrid>
      <w:tr w14:paraId="631DED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644" w:type="dxa"/>
            <w:tcBorders>
              <w:tl2br w:val="nil"/>
              <w:tr2bl w:val="nil"/>
            </w:tcBorders>
            <w:vAlign w:val="top"/>
          </w:tcPr>
          <w:p w14:paraId="07ED0613">
            <w:pPr>
              <w:pStyle w:val="6"/>
              <w:spacing w:line="362" w:lineRule="auto"/>
              <w:ind w:right="632"/>
              <w:jc w:val="both"/>
              <w:rPr>
                <w:rFonts w:hint="default" w:ascii="Times New Roman" w:hAnsi="Times New Roman" w:cs="Times New Roman"/>
                <w:vertAlign w:val="baseline"/>
                <w:lang w:val="en-US" w:eastAsia="zh-CN"/>
              </w:rPr>
            </w:pPr>
            <w:r>
              <w:rPr>
                <w:rFonts w:eastAsia="仿宋"/>
                <w:color w:val="000000"/>
              </w:rPr>
              <w:drawing>
                <wp:inline distT="0" distB="0" distL="114300" distR="114300">
                  <wp:extent cx="2879725" cy="1800225"/>
                  <wp:effectExtent l="0" t="0" r="15875" b="9525"/>
                  <wp:docPr id="1" name="图片 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9"/>
                          <a:stretch>
                            <a:fillRect/>
                          </a:stretch>
                        </pic:blipFill>
                        <pic:spPr>
                          <a:xfrm>
                            <a:off x="0" y="0"/>
                            <a:ext cx="2879725" cy="1800225"/>
                          </a:xfrm>
                          <a:prstGeom prst="rect">
                            <a:avLst/>
                          </a:prstGeom>
                          <a:noFill/>
                          <a:ln>
                            <a:noFill/>
                          </a:ln>
                        </pic:spPr>
                      </pic:pic>
                    </a:graphicData>
                  </a:graphic>
                </wp:inline>
              </w:drawing>
            </w:r>
          </w:p>
        </w:tc>
        <w:tc>
          <w:tcPr>
            <w:tcW w:w="4644" w:type="dxa"/>
            <w:tcBorders>
              <w:tl2br w:val="nil"/>
              <w:tr2bl w:val="nil"/>
            </w:tcBorders>
            <w:vAlign w:val="top"/>
          </w:tcPr>
          <w:p w14:paraId="3C7449D7">
            <w:pPr>
              <w:pStyle w:val="6"/>
              <w:spacing w:line="362" w:lineRule="auto"/>
              <w:ind w:right="632"/>
              <w:jc w:val="both"/>
              <w:rPr>
                <w:rFonts w:hint="default" w:ascii="Times New Roman" w:hAnsi="Times New Roman" w:cs="Times New Roman"/>
                <w:vertAlign w:val="baseline"/>
                <w:lang w:val="en-US" w:eastAsia="zh-CN"/>
              </w:rPr>
            </w:pPr>
            <w:r>
              <w:drawing>
                <wp:inline distT="0" distB="0" distL="0" distR="0">
                  <wp:extent cx="2879725" cy="1800225"/>
                  <wp:effectExtent l="0" t="0" r="15875" b="9525"/>
                  <wp:docPr id="793389301" name="图片 1"/>
                  <wp:cNvGraphicFramePr/>
                  <a:graphic xmlns:a="http://schemas.openxmlformats.org/drawingml/2006/main">
                    <a:graphicData uri="http://schemas.openxmlformats.org/drawingml/2006/picture">
                      <pic:pic xmlns:pic="http://schemas.openxmlformats.org/drawingml/2006/picture">
                        <pic:nvPicPr>
                          <pic:cNvPr id="793389301" name="图片 1"/>
                          <pic:cNvPicPr>
                            <a:picLocks noChangeArrowheads="1"/>
                          </pic:cNvPicPr>
                        </pic:nvPicPr>
                        <pic:blipFill>
                          <a:blip r:embed="rId10" cstate="print">
                            <a:extLst>
                              <a:ext uri="{28A0092B-C50C-407E-A947-70E740481C1C}">
                                <a14:useLocalDpi xmlns:a14="http://schemas.microsoft.com/office/drawing/2010/main" val="0"/>
                              </a:ext>
                            </a:extLst>
                          </a:blip>
                          <a:srcRect l="11870" t="12488" r="26850"/>
                          <a:stretch>
                            <a:fillRect/>
                          </a:stretch>
                        </pic:blipFill>
                        <pic:spPr>
                          <a:xfrm>
                            <a:off x="0" y="0"/>
                            <a:ext cx="2879725" cy="1800225"/>
                          </a:xfrm>
                          <a:prstGeom prst="rect">
                            <a:avLst/>
                          </a:prstGeom>
                          <a:noFill/>
                          <a:ln>
                            <a:noFill/>
                          </a:ln>
                        </pic:spPr>
                      </pic:pic>
                    </a:graphicData>
                  </a:graphic>
                </wp:inline>
              </w:drawing>
            </w:r>
          </w:p>
        </w:tc>
      </w:tr>
      <w:tr w14:paraId="48DE4C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644" w:type="dxa"/>
            <w:tcBorders>
              <w:tl2br w:val="nil"/>
              <w:tr2bl w:val="nil"/>
            </w:tcBorders>
            <w:vAlign w:val="top"/>
          </w:tcPr>
          <w:p w14:paraId="5AADB2CE">
            <w:pPr>
              <w:pStyle w:val="6"/>
              <w:spacing w:line="362" w:lineRule="auto"/>
              <w:ind w:right="632"/>
              <w:jc w:val="both"/>
              <w:rPr>
                <w:rFonts w:hint="default" w:ascii="Times New Roman" w:hAnsi="Times New Roman" w:cs="Times New Roman"/>
                <w:vertAlign w:val="baseline"/>
                <w:lang w:val="en-US" w:eastAsia="zh-CN"/>
              </w:rPr>
            </w:pPr>
            <w:r>
              <w:drawing>
                <wp:inline distT="0" distB="0" distL="0" distR="0">
                  <wp:extent cx="2879725" cy="1800225"/>
                  <wp:effectExtent l="0" t="0" r="15875" b="9525"/>
                  <wp:docPr id="1312119247" name="图片 1"/>
                  <wp:cNvGraphicFramePr/>
                  <a:graphic xmlns:a="http://schemas.openxmlformats.org/drawingml/2006/main">
                    <a:graphicData uri="http://schemas.openxmlformats.org/drawingml/2006/picture">
                      <pic:pic xmlns:pic="http://schemas.openxmlformats.org/drawingml/2006/picture">
                        <pic:nvPicPr>
                          <pic:cNvPr id="1312119247" name="图片 1"/>
                          <pic:cNvPicPr preferRelativeResize="0">
                            <a:picLocks noChangeArrowheads="1"/>
                          </pic:cNvPicPr>
                        </pic:nvPicPr>
                        <pic:blipFill>
                          <a:blip r:embed="rId11" cstate="print">
                            <a:extLst>
                              <a:ext uri="{28A0092B-C50C-407E-A947-70E740481C1C}">
                                <a14:useLocalDpi xmlns:a14="http://schemas.microsoft.com/office/drawing/2010/main" val="0"/>
                              </a:ext>
                            </a:extLst>
                          </a:blip>
                          <a:srcRect l="4468" r="1737"/>
                          <a:stretch>
                            <a:fillRect/>
                          </a:stretch>
                        </pic:blipFill>
                        <pic:spPr>
                          <a:xfrm>
                            <a:off x="0" y="0"/>
                            <a:ext cx="2879725" cy="1800225"/>
                          </a:xfrm>
                          <a:prstGeom prst="rect">
                            <a:avLst/>
                          </a:prstGeom>
                          <a:noFill/>
                          <a:ln>
                            <a:noFill/>
                          </a:ln>
                        </pic:spPr>
                      </pic:pic>
                    </a:graphicData>
                  </a:graphic>
                </wp:inline>
              </w:drawing>
            </w:r>
          </w:p>
        </w:tc>
        <w:tc>
          <w:tcPr>
            <w:tcW w:w="4644" w:type="dxa"/>
            <w:tcBorders>
              <w:tl2br w:val="nil"/>
              <w:tr2bl w:val="nil"/>
            </w:tcBorders>
            <w:vAlign w:val="top"/>
          </w:tcPr>
          <w:p w14:paraId="059EA040">
            <w:pPr>
              <w:pStyle w:val="6"/>
              <w:spacing w:line="362" w:lineRule="auto"/>
              <w:ind w:right="632"/>
              <w:jc w:val="both"/>
              <w:rPr>
                <w:rFonts w:hint="default" w:ascii="Times New Roman" w:hAnsi="Times New Roman" w:cs="Times New Roman"/>
                <w:vertAlign w:val="baseline"/>
                <w:lang w:val="en-US" w:eastAsia="zh-CN"/>
              </w:rPr>
            </w:pPr>
            <w:r>
              <w:drawing>
                <wp:inline distT="0" distB="0" distL="0" distR="0">
                  <wp:extent cx="2879725" cy="1800225"/>
                  <wp:effectExtent l="0" t="0" r="15875" b="9525"/>
                  <wp:docPr id="61282681" name="图片 2"/>
                  <wp:cNvGraphicFramePr/>
                  <a:graphic xmlns:a="http://schemas.openxmlformats.org/drawingml/2006/main">
                    <a:graphicData uri="http://schemas.openxmlformats.org/drawingml/2006/picture">
                      <pic:pic xmlns:pic="http://schemas.openxmlformats.org/drawingml/2006/picture">
                        <pic:nvPicPr>
                          <pic:cNvPr id="61282681" name="图片 2"/>
                          <pic:cNvPicPr>
                            <a:picLocks noChangeArrowheads="1"/>
                          </pic:cNvPicPr>
                        </pic:nvPicPr>
                        <pic:blipFill>
                          <a:blip r:embed="rId12" cstate="print">
                            <a:extLst>
                              <a:ext uri="{28A0092B-C50C-407E-A947-70E740481C1C}">
                                <a14:useLocalDpi xmlns:a14="http://schemas.microsoft.com/office/drawing/2010/main" val="0"/>
                              </a:ext>
                            </a:extLst>
                          </a:blip>
                          <a:srcRect l="12567" t="10024" r="20249"/>
                          <a:stretch>
                            <a:fillRect/>
                          </a:stretch>
                        </pic:blipFill>
                        <pic:spPr>
                          <a:xfrm>
                            <a:off x="0" y="0"/>
                            <a:ext cx="2879725" cy="1800225"/>
                          </a:xfrm>
                          <a:prstGeom prst="rect">
                            <a:avLst/>
                          </a:prstGeom>
                          <a:noFill/>
                          <a:ln>
                            <a:noFill/>
                          </a:ln>
                        </pic:spPr>
                      </pic:pic>
                    </a:graphicData>
                  </a:graphic>
                </wp:inline>
              </w:drawing>
            </w:r>
          </w:p>
        </w:tc>
      </w:tr>
      <w:tr w14:paraId="7E3144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288" w:type="dxa"/>
            <w:gridSpan w:val="2"/>
            <w:tcBorders>
              <w:tl2br w:val="nil"/>
              <w:tr2bl w:val="nil"/>
            </w:tcBorders>
            <w:vAlign w:val="top"/>
          </w:tcPr>
          <w:p w14:paraId="080EA44C">
            <w:pPr>
              <w:pStyle w:val="6"/>
              <w:keepNext w:val="0"/>
              <w:keepLines w:val="0"/>
              <w:pageBreakBefore w:val="0"/>
              <w:widowControl w:val="0"/>
              <w:kinsoku/>
              <w:wordWrap/>
              <w:overflowPunct/>
              <w:topLinePunct w:val="0"/>
              <w:autoSpaceDE w:val="0"/>
              <w:autoSpaceDN w:val="0"/>
              <w:bidi w:val="0"/>
              <w:adjustRightInd/>
              <w:snapToGrid/>
              <w:spacing w:line="363" w:lineRule="auto"/>
              <w:ind w:right="0"/>
              <w:jc w:val="center"/>
              <w:textAlignment w:val="auto"/>
              <w:rPr>
                <w:rFonts w:hint="default" w:ascii="Times New Roman" w:hAnsi="Times New Roman" w:cs="Times New Roman"/>
                <w:vertAlign w:val="baseline"/>
                <w:lang w:val="en-US" w:eastAsia="zh-CN"/>
              </w:rPr>
            </w:pPr>
            <w:r>
              <w:rPr>
                <w:rFonts w:hint="eastAsia" w:ascii="Times New Roman" w:hAnsi="Times New Roman" w:cs="Times New Roman"/>
                <w:vertAlign w:val="baseline"/>
                <w:lang w:val="en-US" w:eastAsia="zh-CN"/>
              </w:rPr>
              <w:t>现场座谈照片</w:t>
            </w:r>
          </w:p>
        </w:tc>
      </w:tr>
      <w:tr w14:paraId="6FD0CB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644" w:type="dxa"/>
            <w:tcBorders>
              <w:tl2br w:val="nil"/>
              <w:tr2bl w:val="nil"/>
            </w:tcBorders>
            <w:vAlign w:val="top"/>
          </w:tcPr>
          <w:p w14:paraId="08E82E22">
            <w:pPr>
              <w:pStyle w:val="6"/>
              <w:spacing w:line="362" w:lineRule="auto"/>
              <w:ind w:right="632"/>
              <w:jc w:val="both"/>
              <w:rPr>
                <w:rFonts w:hint="default" w:ascii="Times New Roman" w:hAnsi="Times New Roman" w:cs="Times New Roman"/>
                <w:vertAlign w:val="baseline"/>
                <w:lang w:val="en-US" w:eastAsia="zh-CN"/>
              </w:rPr>
            </w:pPr>
            <w:r>
              <w:rPr>
                <w:rFonts w:hint="default" w:eastAsia="华文仿宋"/>
                <w:lang w:val="en-US" w:eastAsia="zh-CN"/>
              </w:rPr>
              <w:drawing>
                <wp:inline distT="0" distB="0" distL="114300" distR="114300">
                  <wp:extent cx="2879725" cy="1800225"/>
                  <wp:effectExtent l="0" t="0" r="15875" b="9525"/>
                  <wp:docPr id="21" name="图片 21" descr="1731986451886"/>
                  <wp:cNvGraphicFramePr/>
                  <a:graphic xmlns:a="http://schemas.openxmlformats.org/drawingml/2006/main">
                    <a:graphicData uri="http://schemas.openxmlformats.org/drawingml/2006/picture">
                      <pic:pic xmlns:pic="http://schemas.openxmlformats.org/drawingml/2006/picture">
                        <pic:nvPicPr>
                          <pic:cNvPr id="21" name="图片 21" descr="1731986451886"/>
                          <pic:cNvPicPr/>
                        </pic:nvPicPr>
                        <pic:blipFill>
                          <a:blip r:embed="rId13"/>
                          <a:stretch>
                            <a:fillRect/>
                          </a:stretch>
                        </pic:blipFill>
                        <pic:spPr>
                          <a:xfrm>
                            <a:off x="0" y="0"/>
                            <a:ext cx="2879725" cy="1800225"/>
                          </a:xfrm>
                          <a:prstGeom prst="rect">
                            <a:avLst/>
                          </a:prstGeom>
                        </pic:spPr>
                      </pic:pic>
                    </a:graphicData>
                  </a:graphic>
                </wp:inline>
              </w:drawing>
            </w:r>
          </w:p>
        </w:tc>
        <w:tc>
          <w:tcPr>
            <w:tcW w:w="4644" w:type="dxa"/>
            <w:tcBorders>
              <w:tl2br w:val="nil"/>
              <w:tr2bl w:val="nil"/>
            </w:tcBorders>
            <w:vAlign w:val="top"/>
          </w:tcPr>
          <w:p w14:paraId="09236766">
            <w:pPr>
              <w:pStyle w:val="6"/>
              <w:spacing w:line="362" w:lineRule="auto"/>
              <w:ind w:right="632"/>
              <w:jc w:val="both"/>
              <w:rPr>
                <w:rFonts w:hint="default" w:ascii="Times New Roman" w:hAnsi="Times New Roman" w:cs="Times New Roman"/>
                <w:vertAlign w:val="baseline"/>
                <w:lang w:val="en-US" w:eastAsia="zh-CN"/>
              </w:rPr>
            </w:pPr>
            <w:r>
              <w:drawing>
                <wp:inline distT="0" distB="0" distL="0" distR="0">
                  <wp:extent cx="2879725" cy="1800225"/>
                  <wp:effectExtent l="0" t="0" r="15875" b="9525"/>
                  <wp:docPr id="1692749772" name="图片 6"/>
                  <wp:cNvGraphicFramePr/>
                  <a:graphic xmlns:a="http://schemas.openxmlformats.org/drawingml/2006/main">
                    <a:graphicData uri="http://schemas.openxmlformats.org/drawingml/2006/picture">
                      <pic:pic xmlns:pic="http://schemas.openxmlformats.org/drawingml/2006/picture">
                        <pic:nvPicPr>
                          <pic:cNvPr id="1692749772" name="图片 6"/>
                          <pic:cNvPicPr>
                            <a:picLocks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879725" cy="1800225"/>
                          </a:xfrm>
                          <a:prstGeom prst="rect">
                            <a:avLst/>
                          </a:prstGeom>
                          <a:noFill/>
                          <a:ln>
                            <a:noFill/>
                          </a:ln>
                        </pic:spPr>
                      </pic:pic>
                    </a:graphicData>
                  </a:graphic>
                </wp:inline>
              </w:drawing>
            </w:r>
          </w:p>
        </w:tc>
      </w:tr>
      <w:tr w14:paraId="5B03E4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644" w:type="dxa"/>
            <w:tcBorders>
              <w:tl2br w:val="nil"/>
              <w:tr2bl w:val="nil"/>
            </w:tcBorders>
            <w:vAlign w:val="top"/>
          </w:tcPr>
          <w:p w14:paraId="2746A6F2">
            <w:pPr>
              <w:pStyle w:val="6"/>
              <w:spacing w:line="362" w:lineRule="auto"/>
              <w:ind w:right="632"/>
              <w:jc w:val="both"/>
              <w:rPr>
                <w:rFonts w:hint="default" w:ascii="Times New Roman" w:hAnsi="Times New Roman" w:cs="Times New Roman"/>
                <w:vertAlign w:val="baseline"/>
                <w:lang w:val="en-US" w:eastAsia="zh-CN"/>
              </w:rPr>
            </w:pPr>
            <w:r>
              <w:rPr>
                <w:rFonts w:eastAsia="仿宋"/>
                <w:color w:val="000000"/>
              </w:rPr>
              <w:drawing>
                <wp:inline distT="0" distB="0" distL="114300" distR="114300">
                  <wp:extent cx="2879725" cy="1800225"/>
                  <wp:effectExtent l="0" t="0" r="15875" b="9525"/>
                  <wp:docPr id="2" name="图片 2"/>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5"/>
                          <a:srcRect l="17192"/>
                          <a:stretch>
                            <a:fillRect/>
                          </a:stretch>
                        </pic:blipFill>
                        <pic:spPr>
                          <a:xfrm>
                            <a:off x="0" y="0"/>
                            <a:ext cx="2879725" cy="1800225"/>
                          </a:xfrm>
                          <a:prstGeom prst="rect">
                            <a:avLst/>
                          </a:prstGeom>
                          <a:noFill/>
                          <a:ln>
                            <a:noFill/>
                          </a:ln>
                        </pic:spPr>
                      </pic:pic>
                    </a:graphicData>
                  </a:graphic>
                </wp:inline>
              </w:drawing>
            </w:r>
          </w:p>
        </w:tc>
        <w:tc>
          <w:tcPr>
            <w:tcW w:w="4644" w:type="dxa"/>
            <w:tcBorders>
              <w:tl2br w:val="nil"/>
              <w:tr2bl w:val="nil"/>
            </w:tcBorders>
            <w:vAlign w:val="top"/>
          </w:tcPr>
          <w:p w14:paraId="671688D8">
            <w:pPr>
              <w:pStyle w:val="6"/>
              <w:spacing w:line="362" w:lineRule="auto"/>
              <w:ind w:right="632"/>
              <w:jc w:val="both"/>
              <w:rPr>
                <w:rFonts w:hint="default" w:ascii="Times New Roman" w:hAnsi="Times New Roman" w:cs="Times New Roman"/>
                <w:vertAlign w:val="baseline"/>
                <w:lang w:val="en-US" w:eastAsia="zh-CN"/>
              </w:rPr>
            </w:pPr>
            <w:r>
              <w:rPr>
                <w:rFonts w:eastAsia="仿宋"/>
                <w:color w:val="000000"/>
              </w:rPr>
              <w:drawing>
                <wp:inline distT="0" distB="0" distL="114300" distR="114300">
                  <wp:extent cx="2879725" cy="1800225"/>
                  <wp:effectExtent l="0" t="0" r="15875" b="9525"/>
                  <wp:docPr id="3" name="图片 3"/>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6"/>
                          <a:stretch>
                            <a:fillRect/>
                          </a:stretch>
                        </pic:blipFill>
                        <pic:spPr>
                          <a:xfrm>
                            <a:off x="0" y="0"/>
                            <a:ext cx="2879725" cy="1800225"/>
                          </a:xfrm>
                          <a:prstGeom prst="rect">
                            <a:avLst/>
                          </a:prstGeom>
                          <a:noFill/>
                          <a:ln>
                            <a:noFill/>
                          </a:ln>
                        </pic:spPr>
                      </pic:pic>
                    </a:graphicData>
                  </a:graphic>
                </wp:inline>
              </w:drawing>
            </w:r>
          </w:p>
        </w:tc>
      </w:tr>
      <w:tr w14:paraId="2F7297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644" w:type="dxa"/>
            <w:tcBorders>
              <w:tl2br w:val="nil"/>
              <w:tr2bl w:val="nil"/>
            </w:tcBorders>
            <w:vAlign w:val="top"/>
          </w:tcPr>
          <w:p w14:paraId="20FD70EC">
            <w:pPr>
              <w:pStyle w:val="6"/>
              <w:spacing w:line="362" w:lineRule="auto"/>
              <w:ind w:right="632"/>
              <w:jc w:val="both"/>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drawing>
                <wp:inline distT="0" distB="0" distL="114300" distR="114300">
                  <wp:extent cx="2879725" cy="1800225"/>
                  <wp:effectExtent l="0" t="0" r="15875" b="9525"/>
                  <wp:docPr id="7" name="图片 7" descr="微信图片_20241030233557"/>
                  <wp:cNvGraphicFramePr/>
                  <a:graphic xmlns:a="http://schemas.openxmlformats.org/drawingml/2006/main">
                    <a:graphicData uri="http://schemas.openxmlformats.org/drawingml/2006/picture">
                      <pic:pic xmlns:pic="http://schemas.openxmlformats.org/drawingml/2006/picture">
                        <pic:nvPicPr>
                          <pic:cNvPr id="7" name="图片 7" descr="微信图片_20241030233557"/>
                          <pic:cNvPicPr/>
                        </pic:nvPicPr>
                        <pic:blipFill>
                          <a:blip r:embed="rId17"/>
                          <a:stretch>
                            <a:fillRect/>
                          </a:stretch>
                        </pic:blipFill>
                        <pic:spPr>
                          <a:xfrm>
                            <a:off x="0" y="0"/>
                            <a:ext cx="2879725" cy="1800225"/>
                          </a:xfrm>
                          <a:prstGeom prst="rect">
                            <a:avLst/>
                          </a:prstGeom>
                        </pic:spPr>
                      </pic:pic>
                    </a:graphicData>
                  </a:graphic>
                </wp:inline>
              </w:drawing>
            </w:r>
          </w:p>
        </w:tc>
        <w:tc>
          <w:tcPr>
            <w:tcW w:w="4644" w:type="dxa"/>
            <w:tcBorders>
              <w:tl2br w:val="nil"/>
              <w:tr2bl w:val="nil"/>
            </w:tcBorders>
            <w:vAlign w:val="top"/>
          </w:tcPr>
          <w:p w14:paraId="1F64DC2B">
            <w:pPr>
              <w:pStyle w:val="6"/>
              <w:spacing w:line="362" w:lineRule="auto"/>
              <w:ind w:right="632"/>
              <w:jc w:val="both"/>
              <w:rPr>
                <w:rFonts w:hint="default" w:ascii="Times New Roman" w:hAnsi="Times New Roman" w:cs="Times New Roman"/>
                <w:vertAlign w:val="baseline"/>
                <w:lang w:val="en-US" w:eastAsia="zh-CN"/>
              </w:rPr>
            </w:pPr>
            <w:r>
              <w:rPr>
                <w:rFonts w:eastAsia="仿宋"/>
              </w:rPr>
              <w:drawing>
                <wp:inline distT="0" distB="0" distL="0" distR="0">
                  <wp:extent cx="2879725" cy="1800225"/>
                  <wp:effectExtent l="0" t="0" r="15875" b="9525"/>
                  <wp:docPr id="64" name="图片 64" descr="d:\Users\jihl\Documents\WeChat Files\wxid_5828308281711\FileStorage\Temp\a2060e1c7ed9d0daeecff9bc92cf859.jpg"/>
                  <wp:cNvGraphicFramePr/>
                  <a:graphic xmlns:a="http://schemas.openxmlformats.org/drawingml/2006/main">
                    <a:graphicData uri="http://schemas.openxmlformats.org/drawingml/2006/picture">
                      <pic:pic xmlns:pic="http://schemas.openxmlformats.org/drawingml/2006/picture">
                        <pic:nvPicPr>
                          <pic:cNvPr id="64" name="图片 64" descr="d:\Users\jihl\Documents\WeChat Files\wxid_5828308281711\FileStorage\Temp\a2060e1c7ed9d0daeecff9bc92cf859.jpg"/>
                          <pic:cNvPicPr>
                            <a:picLocks noChangeArrowheads="1"/>
                          </pic:cNvPicPr>
                        </pic:nvPicPr>
                        <pic:blipFill>
                          <a:blip r:embed="rId18" cstate="print">
                            <a:extLst>
                              <a:ext uri="{28A0092B-C50C-407E-A947-70E740481C1C}">
                                <a14:useLocalDpi xmlns:a14="http://schemas.microsoft.com/office/drawing/2010/main" val="0"/>
                              </a:ext>
                            </a:extLst>
                          </a:blip>
                          <a:srcRect l="1763" t="11286" r="14566"/>
                          <a:stretch>
                            <a:fillRect/>
                          </a:stretch>
                        </pic:blipFill>
                        <pic:spPr>
                          <a:xfrm>
                            <a:off x="0" y="0"/>
                            <a:ext cx="2879725" cy="1800225"/>
                          </a:xfrm>
                          <a:prstGeom prst="rect">
                            <a:avLst/>
                          </a:prstGeom>
                          <a:noFill/>
                          <a:ln>
                            <a:noFill/>
                          </a:ln>
                        </pic:spPr>
                      </pic:pic>
                    </a:graphicData>
                  </a:graphic>
                </wp:inline>
              </w:drawing>
            </w:r>
          </w:p>
        </w:tc>
      </w:tr>
      <w:tr w14:paraId="443BBA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644" w:type="dxa"/>
            <w:tcBorders>
              <w:tl2br w:val="nil"/>
              <w:tr2bl w:val="nil"/>
            </w:tcBorders>
            <w:vAlign w:val="top"/>
          </w:tcPr>
          <w:p w14:paraId="040CEBF0">
            <w:pPr>
              <w:pStyle w:val="6"/>
              <w:spacing w:line="362" w:lineRule="auto"/>
              <w:ind w:right="632"/>
              <w:jc w:val="both"/>
              <w:rPr>
                <w:rFonts w:hint="eastAsia" w:eastAsia="仿宋"/>
                <w:lang w:eastAsia="zh-CN"/>
              </w:rPr>
            </w:pPr>
            <w:r>
              <w:rPr>
                <w:rFonts w:hint="eastAsia" w:eastAsia="仿宋"/>
                <w:lang w:eastAsia="zh-CN"/>
              </w:rPr>
              <w:drawing>
                <wp:inline distT="0" distB="0" distL="114300" distR="114300">
                  <wp:extent cx="2879725" cy="1800225"/>
                  <wp:effectExtent l="0" t="0" r="15875" b="9525"/>
                  <wp:docPr id="4" name="图片 4" descr="微信图片_20250923173558_185_9"/>
                  <wp:cNvGraphicFramePr/>
                  <a:graphic xmlns:a="http://schemas.openxmlformats.org/drawingml/2006/main">
                    <a:graphicData uri="http://schemas.openxmlformats.org/drawingml/2006/picture">
                      <pic:pic xmlns:pic="http://schemas.openxmlformats.org/drawingml/2006/picture">
                        <pic:nvPicPr>
                          <pic:cNvPr id="4" name="图片 4" descr="微信图片_20250923173558_185_9"/>
                          <pic:cNvPicPr/>
                        </pic:nvPicPr>
                        <pic:blipFill>
                          <a:blip r:embed="rId19"/>
                          <a:stretch>
                            <a:fillRect/>
                          </a:stretch>
                        </pic:blipFill>
                        <pic:spPr>
                          <a:xfrm>
                            <a:off x="0" y="0"/>
                            <a:ext cx="2879725" cy="1800225"/>
                          </a:xfrm>
                          <a:prstGeom prst="rect">
                            <a:avLst/>
                          </a:prstGeom>
                        </pic:spPr>
                      </pic:pic>
                    </a:graphicData>
                  </a:graphic>
                </wp:inline>
              </w:drawing>
            </w:r>
          </w:p>
        </w:tc>
        <w:tc>
          <w:tcPr>
            <w:tcW w:w="4644" w:type="dxa"/>
            <w:tcBorders>
              <w:tl2br w:val="nil"/>
              <w:tr2bl w:val="nil"/>
            </w:tcBorders>
            <w:vAlign w:val="top"/>
          </w:tcPr>
          <w:p w14:paraId="36564EA8">
            <w:pPr>
              <w:pStyle w:val="6"/>
              <w:spacing w:line="362" w:lineRule="auto"/>
              <w:ind w:right="632"/>
              <w:jc w:val="both"/>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drawing>
                <wp:inline distT="0" distB="0" distL="114300" distR="114300">
                  <wp:extent cx="2879725" cy="1800225"/>
                  <wp:effectExtent l="0" t="0" r="15875" b="9525"/>
                  <wp:docPr id="5" name="图片 5" descr="微信图片_2025-09-24_131553_811"/>
                  <wp:cNvGraphicFramePr/>
                  <a:graphic xmlns:a="http://schemas.openxmlformats.org/drawingml/2006/main">
                    <a:graphicData uri="http://schemas.openxmlformats.org/drawingml/2006/picture">
                      <pic:pic xmlns:pic="http://schemas.openxmlformats.org/drawingml/2006/picture">
                        <pic:nvPicPr>
                          <pic:cNvPr id="5" name="图片 5" descr="微信图片_2025-09-24_131553_811"/>
                          <pic:cNvPicPr/>
                        </pic:nvPicPr>
                        <pic:blipFill>
                          <a:blip r:embed="rId20"/>
                          <a:stretch>
                            <a:fillRect/>
                          </a:stretch>
                        </pic:blipFill>
                        <pic:spPr>
                          <a:xfrm>
                            <a:off x="0" y="0"/>
                            <a:ext cx="2879725" cy="1800225"/>
                          </a:xfrm>
                          <a:prstGeom prst="rect">
                            <a:avLst/>
                          </a:prstGeom>
                        </pic:spPr>
                      </pic:pic>
                    </a:graphicData>
                  </a:graphic>
                </wp:inline>
              </w:drawing>
            </w:r>
          </w:p>
        </w:tc>
      </w:tr>
      <w:tr w14:paraId="2275A4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288" w:type="dxa"/>
            <w:gridSpan w:val="2"/>
            <w:tcBorders>
              <w:tl2br w:val="nil"/>
              <w:tr2bl w:val="nil"/>
            </w:tcBorders>
            <w:vAlign w:val="top"/>
          </w:tcPr>
          <w:p w14:paraId="59372A12">
            <w:pPr>
              <w:pStyle w:val="6"/>
              <w:keepNext w:val="0"/>
              <w:keepLines w:val="0"/>
              <w:pageBreakBefore w:val="0"/>
              <w:widowControl w:val="0"/>
              <w:kinsoku/>
              <w:wordWrap/>
              <w:overflowPunct/>
              <w:topLinePunct w:val="0"/>
              <w:autoSpaceDE w:val="0"/>
              <w:autoSpaceDN w:val="0"/>
              <w:bidi w:val="0"/>
              <w:adjustRightInd/>
              <w:snapToGrid/>
              <w:spacing w:line="363" w:lineRule="auto"/>
              <w:ind w:right="0"/>
              <w:jc w:val="center"/>
              <w:textAlignment w:val="auto"/>
              <w:rPr>
                <w:rFonts w:hint="default" w:ascii="Times New Roman" w:hAnsi="Times New Roman" w:cs="Times New Roman"/>
                <w:vertAlign w:val="baseline"/>
                <w:lang w:val="en-US" w:eastAsia="zh-CN"/>
              </w:rPr>
            </w:pPr>
            <w:r>
              <w:rPr>
                <w:rFonts w:hint="eastAsia" w:ascii="Times New Roman" w:hAnsi="Times New Roman" w:cs="Times New Roman"/>
                <w:vertAlign w:val="baseline"/>
                <w:lang w:val="en-US" w:eastAsia="zh-CN"/>
              </w:rPr>
              <w:t>实地踏勘照片</w:t>
            </w:r>
          </w:p>
        </w:tc>
      </w:tr>
    </w:tbl>
    <w:p w14:paraId="2CE6F625">
      <w:pPr>
        <w:pStyle w:val="6"/>
        <w:spacing w:line="362" w:lineRule="auto"/>
        <w:ind w:left="609" w:right="632" w:firstLine="480"/>
        <w:jc w:val="center"/>
        <w:rPr>
          <w:rFonts w:hint="eastAsia" w:ascii="Times New Roman" w:hAnsi="Times New Roman" w:cs="Times New Roman"/>
          <w:b w:val="0"/>
          <w:bCs w:val="0"/>
          <w:lang w:val="en-US" w:eastAsia="zh-CN"/>
        </w:rPr>
      </w:pPr>
      <w:r>
        <w:rPr>
          <w:rFonts w:hint="eastAsia" w:ascii="Times New Roman" w:hAnsi="Times New Roman" w:cs="Times New Roman"/>
          <w:b w:val="0"/>
          <w:bCs w:val="0"/>
          <w:lang w:val="en-US" w:eastAsia="zh-CN"/>
        </w:rPr>
        <w:t>图3-1 干散货港口现场调研照片</w:t>
      </w:r>
    </w:p>
    <w:p w14:paraId="59AC1192">
      <w:pPr>
        <w:spacing w:before="240" w:after="240"/>
        <w:ind w:left="607"/>
        <w:rPr>
          <w:rFonts w:hint="default" w:ascii="Times New Roman" w:hAnsi="Times New Roman" w:cs="Times New Roman"/>
          <w:b/>
          <w:sz w:val="24"/>
          <w:szCs w:val="24"/>
          <w:lang w:val="en-US" w:eastAsia="zh-CN"/>
        </w:rPr>
      </w:pPr>
      <w:r>
        <w:rPr>
          <w:rFonts w:ascii="Times New Roman" w:hAnsi="Times New Roman" w:cs="Times New Roman"/>
          <w:b/>
          <w:sz w:val="24"/>
          <w:szCs w:val="24"/>
          <w:lang w:eastAsia="zh-CN"/>
        </w:rPr>
        <w:t>（</w:t>
      </w:r>
      <w:r>
        <w:rPr>
          <w:rFonts w:hint="eastAsia" w:ascii="Times New Roman" w:hAnsi="Times New Roman" w:cs="Times New Roman"/>
          <w:b/>
          <w:sz w:val="24"/>
          <w:szCs w:val="24"/>
          <w:lang w:val="en-US" w:eastAsia="zh-CN"/>
        </w:rPr>
        <w:t>三</w:t>
      </w:r>
      <w:r>
        <w:rPr>
          <w:rFonts w:ascii="Times New Roman" w:hAnsi="Times New Roman" w:cs="Times New Roman"/>
          <w:b/>
          <w:sz w:val="24"/>
          <w:szCs w:val="24"/>
          <w:lang w:eastAsia="zh-CN"/>
        </w:rPr>
        <w:t>）</w:t>
      </w:r>
      <w:r>
        <w:rPr>
          <w:rFonts w:hint="eastAsia" w:ascii="Times New Roman" w:hAnsi="Times New Roman" w:cs="Times New Roman"/>
          <w:b/>
          <w:sz w:val="24"/>
          <w:szCs w:val="24"/>
          <w:lang w:val="en-US" w:eastAsia="zh-CN"/>
        </w:rPr>
        <w:t>调研内容</w:t>
      </w:r>
    </w:p>
    <w:p w14:paraId="0C86CB2A">
      <w:pPr>
        <w:pStyle w:val="6"/>
        <w:spacing w:line="362" w:lineRule="auto"/>
        <w:ind w:left="609" w:right="632" w:firstLine="480"/>
        <w:jc w:val="left"/>
        <w:rPr>
          <w:rFonts w:hint="eastAsia" w:ascii="Times New Roman" w:hAnsi="Times New Roman" w:cs="Times New Roman"/>
          <w:b/>
          <w:bCs/>
          <w:lang w:val="en-US" w:eastAsia="zh-CN"/>
        </w:rPr>
      </w:pPr>
      <w:r>
        <w:rPr>
          <w:rFonts w:hint="eastAsia" w:ascii="Times New Roman" w:hAnsi="Times New Roman" w:cs="Times New Roman"/>
          <w:lang w:val="en-US" w:eastAsia="zh-CN"/>
        </w:rPr>
        <w:t>根据本项目的编制需求，调研内容以颗粒物污染防治工作开展情况为重点，同时兼顾企业环保制度建设、环境监测计划执行情况等内容。具体调研内容详见表3-1。</w:t>
      </w:r>
    </w:p>
    <w:p w14:paraId="75A88351">
      <w:pPr>
        <w:pStyle w:val="6"/>
        <w:keepNext w:val="0"/>
        <w:keepLines w:val="0"/>
        <w:pageBreakBefore w:val="0"/>
        <w:widowControl w:val="0"/>
        <w:kinsoku/>
        <w:wordWrap/>
        <w:overflowPunct/>
        <w:topLinePunct w:val="0"/>
        <w:autoSpaceDE w:val="0"/>
        <w:autoSpaceDN w:val="0"/>
        <w:bidi w:val="0"/>
        <w:adjustRightInd/>
        <w:snapToGrid/>
        <w:spacing w:line="363" w:lineRule="auto"/>
        <w:ind w:left="607" w:right="629" w:firstLine="0"/>
        <w:jc w:val="center"/>
        <w:textAlignment w:val="auto"/>
        <w:rPr>
          <w:rFonts w:hint="default" w:ascii="Times New Roman" w:hAnsi="Times New Roman" w:cs="Times New Roman"/>
          <w:b w:val="0"/>
          <w:bCs w:val="0"/>
          <w:lang w:val="en-US" w:eastAsia="zh-CN"/>
        </w:rPr>
      </w:pPr>
      <w:r>
        <w:rPr>
          <w:rFonts w:hint="eastAsia" w:ascii="Times New Roman" w:hAnsi="Times New Roman" w:cs="Times New Roman"/>
          <w:b w:val="0"/>
          <w:bCs w:val="0"/>
          <w:lang w:val="en-US" w:eastAsia="zh-CN"/>
        </w:rPr>
        <w:t>表3-1 干散货港口调研内容清单</w:t>
      </w:r>
    </w:p>
    <w:tbl>
      <w:tblPr>
        <w:tblStyle w:val="15"/>
        <w:tblW w:w="462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7"/>
        <w:gridCol w:w="7691"/>
      </w:tblGrid>
      <w:tr w14:paraId="22189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shd w:val="clear" w:color="auto" w:fill="D8D8D8" w:themeFill="background1" w:themeFillShade="D9"/>
            <w:vAlign w:val="center"/>
          </w:tcPr>
          <w:p w14:paraId="40170299">
            <w:pPr>
              <w:jc w:val="center"/>
              <w:rPr>
                <w:rFonts w:ascii="Times New Roman" w:hAnsi="Times New Roman" w:cs="Times New Roman"/>
                <w:b/>
                <w:kern w:val="0"/>
                <w:sz w:val="21"/>
                <w:szCs w:val="21"/>
              </w:rPr>
            </w:pPr>
            <w:r>
              <w:rPr>
                <w:rFonts w:hint="eastAsia" w:ascii="Times New Roman" w:hAnsi="Times New Roman" w:cs="Times New Roman"/>
                <w:b/>
                <w:kern w:val="0"/>
                <w:sz w:val="21"/>
                <w:szCs w:val="21"/>
                <w:lang w:val="en-US" w:eastAsia="zh-CN"/>
              </w:rPr>
              <w:t>调研</w:t>
            </w:r>
            <w:r>
              <w:rPr>
                <w:rFonts w:ascii="Times New Roman" w:hAnsi="Times New Roman" w:cs="Times New Roman"/>
                <w:b/>
                <w:kern w:val="0"/>
                <w:sz w:val="21"/>
                <w:szCs w:val="21"/>
              </w:rPr>
              <w:t>项目</w:t>
            </w:r>
          </w:p>
        </w:tc>
        <w:tc>
          <w:tcPr>
            <w:tcW w:w="4345" w:type="pct"/>
            <w:shd w:val="clear" w:color="auto" w:fill="D8D8D8" w:themeFill="background1" w:themeFillShade="D9"/>
            <w:vAlign w:val="center"/>
          </w:tcPr>
          <w:p w14:paraId="4DCB84A4">
            <w:pPr>
              <w:jc w:val="center"/>
              <w:rPr>
                <w:rFonts w:ascii="Times New Roman" w:hAnsi="Times New Roman" w:cs="Times New Roman"/>
                <w:b/>
                <w:kern w:val="0"/>
                <w:sz w:val="21"/>
                <w:szCs w:val="21"/>
              </w:rPr>
            </w:pPr>
            <w:r>
              <w:rPr>
                <w:rFonts w:hint="eastAsia" w:ascii="Times New Roman" w:hAnsi="Times New Roman" w:cs="Times New Roman"/>
                <w:b/>
                <w:kern w:val="0"/>
                <w:sz w:val="21"/>
                <w:szCs w:val="21"/>
                <w:lang w:val="en-US" w:eastAsia="zh-CN"/>
              </w:rPr>
              <w:t>调研</w:t>
            </w:r>
            <w:r>
              <w:rPr>
                <w:rFonts w:ascii="Times New Roman" w:hAnsi="Times New Roman" w:cs="Times New Roman"/>
                <w:b/>
                <w:kern w:val="0"/>
                <w:sz w:val="21"/>
                <w:szCs w:val="21"/>
              </w:rPr>
              <w:t>内容</w:t>
            </w:r>
          </w:p>
        </w:tc>
      </w:tr>
      <w:tr w14:paraId="31E3F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restart"/>
            <w:vAlign w:val="center"/>
          </w:tcPr>
          <w:p w14:paraId="626352F7">
            <w:pPr>
              <w:jc w:val="center"/>
              <w:rPr>
                <w:rFonts w:hint="default" w:ascii="Times New Roman" w:hAnsi="Times New Roman" w:eastAsia="宋体" w:cs="Times New Roman"/>
                <w:kern w:val="0"/>
                <w:sz w:val="21"/>
                <w:szCs w:val="21"/>
                <w:lang w:val="en-US" w:eastAsia="zh-CN"/>
              </w:rPr>
            </w:pPr>
            <w:r>
              <w:rPr>
                <w:rFonts w:hint="eastAsia" w:ascii="Times New Roman" w:hAnsi="Times New Roman" w:cs="Times New Roman"/>
                <w:kern w:val="0"/>
                <w:sz w:val="21"/>
                <w:szCs w:val="21"/>
                <w:lang w:val="en-US" w:eastAsia="zh-CN"/>
              </w:rPr>
              <w:t>颗粒物</w:t>
            </w:r>
            <w:r>
              <w:rPr>
                <w:rFonts w:ascii="Times New Roman" w:hAnsi="Times New Roman" w:cs="Times New Roman"/>
                <w:kern w:val="0"/>
                <w:sz w:val="21"/>
                <w:szCs w:val="21"/>
              </w:rPr>
              <w:t>污染防治设施</w:t>
            </w:r>
            <w:r>
              <w:rPr>
                <w:rFonts w:hint="eastAsia" w:ascii="Times New Roman" w:hAnsi="Times New Roman" w:cs="Times New Roman"/>
                <w:kern w:val="0"/>
                <w:sz w:val="21"/>
                <w:szCs w:val="21"/>
                <w:lang w:val="en-US" w:eastAsia="zh-CN"/>
              </w:rPr>
              <w:t>配套情况</w:t>
            </w:r>
          </w:p>
        </w:tc>
        <w:tc>
          <w:tcPr>
            <w:tcW w:w="4345" w:type="pct"/>
            <w:vAlign w:val="center"/>
          </w:tcPr>
          <w:p w14:paraId="1772B270">
            <w:pPr>
              <w:rPr>
                <w:rFonts w:ascii="Times New Roman" w:hAnsi="Times New Roman" w:cs="Times New Roman"/>
                <w:kern w:val="0"/>
                <w:sz w:val="21"/>
                <w:szCs w:val="21"/>
              </w:rPr>
            </w:pPr>
            <w:r>
              <w:rPr>
                <w:rFonts w:ascii="Times New Roman" w:hAnsi="Times New Roman" w:cs="Times New Roman"/>
                <w:kern w:val="0"/>
                <w:sz w:val="21"/>
                <w:szCs w:val="21"/>
              </w:rPr>
              <w:t>是否按照</w:t>
            </w:r>
            <w:r>
              <w:rPr>
                <w:rFonts w:ascii="Times New Roman" w:hAnsi="Times New Roman" w:cs="Times New Roman"/>
                <w:bCs/>
                <w:kern w:val="0"/>
                <w:sz w:val="21"/>
                <w:szCs w:val="21"/>
              </w:rPr>
              <w:t>环境影响评价文件或地方相关规定</w:t>
            </w:r>
            <w:r>
              <w:rPr>
                <w:rFonts w:ascii="Times New Roman" w:hAnsi="Times New Roman" w:cs="Times New Roman"/>
                <w:kern w:val="0"/>
                <w:sz w:val="21"/>
                <w:szCs w:val="21"/>
              </w:rPr>
              <w:t>建设大气污染防治设施。</w:t>
            </w:r>
          </w:p>
        </w:tc>
      </w:tr>
      <w:tr w14:paraId="27646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7" w:hRule="atLeast"/>
          <w:jc w:val="center"/>
        </w:trPr>
        <w:tc>
          <w:tcPr>
            <w:tcW w:w="654" w:type="pct"/>
            <w:vMerge w:val="continue"/>
            <w:vAlign w:val="center"/>
          </w:tcPr>
          <w:p w14:paraId="2FF1F1DE">
            <w:pPr>
              <w:jc w:val="center"/>
              <w:rPr>
                <w:rFonts w:ascii="Times New Roman" w:hAnsi="Times New Roman" w:cs="Times New Roman"/>
                <w:kern w:val="0"/>
                <w:sz w:val="21"/>
                <w:szCs w:val="21"/>
              </w:rPr>
            </w:pPr>
          </w:p>
        </w:tc>
        <w:tc>
          <w:tcPr>
            <w:tcW w:w="4345" w:type="pct"/>
            <w:vAlign w:val="center"/>
          </w:tcPr>
          <w:p w14:paraId="3D2C6B91">
            <w:pPr>
              <w:keepNext w:val="0"/>
              <w:keepLines w:val="0"/>
              <w:widowControl/>
              <w:suppressLineNumbers w:val="0"/>
              <w:jc w:val="left"/>
              <w:rPr>
                <w:rFonts w:ascii="Times New Roman" w:hAnsi="Times New Roman" w:cs="Times New Roman"/>
                <w:kern w:val="0"/>
                <w:sz w:val="21"/>
                <w:szCs w:val="21"/>
              </w:rPr>
            </w:pPr>
            <w:r>
              <w:rPr>
                <w:rFonts w:ascii="瀹嬩綋" w:hAnsi="瀹嬩綋" w:eastAsia="瀹嬩綋" w:cs="瀹嬩綋"/>
                <w:color w:val="000000"/>
                <w:kern w:val="0"/>
                <w:sz w:val="21"/>
                <w:szCs w:val="21"/>
                <w:lang w:val="en-US" w:eastAsia="zh-CN" w:bidi="ar"/>
              </w:rPr>
              <w:t>干散货</w:t>
            </w:r>
            <w:r>
              <w:rPr>
                <w:rFonts w:hint="eastAsia" w:ascii="瀹嬩綋" w:hAnsi="瀹嬩綋" w:eastAsia="瀹嬩綋" w:cs="瀹嬩綋"/>
                <w:color w:val="000000"/>
                <w:kern w:val="0"/>
                <w:sz w:val="21"/>
                <w:szCs w:val="21"/>
                <w:lang w:val="en-US" w:eastAsia="zh-CN" w:bidi="ar"/>
              </w:rPr>
              <w:t>港口</w:t>
            </w:r>
            <w:r>
              <w:rPr>
                <w:rFonts w:ascii="瀹嬩綋" w:hAnsi="瀹嬩綋" w:eastAsia="瀹嬩綋" w:cs="瀹嬩綋"/>
                <w:color w:val="000000"/>
                <w:kern w:val="0"/>
                <w:sz w:val="21"/>
                <w:szCs w:val="21"/>
                <w:lang w:val="en-US" w:eastAsia="zh-CN" w:bidi="ar"/>
              </w:rPr>
              <w:t>是否按要求建设筒仓、条形仓、球形仓等封闭式料仓，露天</w:t>
            </w:r>
            <w:r>
              <w:rPr>
                <w:rFonts w:hint="default" w:ascii="瀹嬩綋" w:hAnsi="瀹嬩綋" w:eastAsia="瀹嬩綋" w:cs="瀹嬩綋"/>
                <w:color w:val="000000"/>
                <w:kern w:val="0"/>
                <w:sz w:val="21"/>
                <w:szCs w:val="21"/>
                <w:lang w:val="en-US" w:eastAsia="zh-CN" w:bidi="ar"/>
              </w:rPr>
              <w:t>堆场是否按要求建设防风抑尘网，防风抑尘网的高度、平面布置、材质、开孔率等是否满足环保手续文件相关要求。</w:t>
            </w:r>
          </w:p>
        </w:tc>
      </w:tr>
      <w:tr w14:paraId="7A00D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vAlign w:val="center"/>
          </w:tcPr>
          <w:p w14:paraId="279CFD40">
            <w:pPr>
              <w:jc w:val="center"/>
              <w:rPr>
                <w:rFonts w:ascii="Times New Roman" w:hAnsi="Times New Roman" w:cs="Times New Roman"/>
                <w:kern w:val="0"/>
                <w:sz w:val="21"/>
                <w:szCs w:val="21"/>
              </w:rPr>
            </w:pPr>
          </w:p>
        </w:tc>
        <w:tc>
          <w:tcPr>
            <w:tcW w:w="4345" w:type="pct"/>
            <w:vAlign w:val="center"/>
          </w:tcPr>
          <w:p w14:paraId="4CAC5A51">
            <w:pPr>
              <w:keepNext w:val="0"/>
              <w:keepLines w:val="0"/>
              <w:widowControl/>
              <w:suppressLineNumbers w:val="0"/>
              <w:jc w:val="left"/>
              <w:rPr>
                <w:rFonts w:ascii="Times New Roman" w:hAnsi="Times New Roman" w:cs="Times New Roman"/>
                <w:kern w:val="0"/>
                <w:sz w:val="21"/>
                <w:szCs w:val="21"/>
              </w:rPr>
            </w:pPr>
            <w:r>
              <w:rPr>
                <w:rFonts w:ascii="瀹嬩綋" w:hAnsi="瀹嬩綋" w:eastAsia="瀹嬩綋" w:cs="瀹嬩綋"/>
                <w:color w:val="000000"/>
                <w:kern w:val="0"/>
                <w:sz w:val="21"/>
                <w:szCs w:val="21"/>
                <w:lang w:val="en-US" w:eastAsia="zh-CN" w:bidi="ar"/>
              </w:rPr>
              <w:t>干散货露天堆场中转频率低的堆垛是否采用苫盖、喷洒抑尘剂等有效覆</w:t>
            </w:r>
            <w:r>
              <w:rPr>
                <w:rFonts w:hint="default" w:ascii="瀹嬩綋" w:hAnsi="瀹嬩綋" w:eastAsia="瀹嬩綋" w:cs="瀹嬩綋"/>
                <w:color w:val="000000"/>
                <w:kern w:val="0"/>
                <w:sz w:val="21"/>
                <w:szCs w:val="21"/>
                <w:lang w:val="en-US" w:eastAsia="zh-CN" w:bidi="ar"/>
              </w:rPr>
              <w:t>盖措施。</w:t>
            </w:r>
          </w:p>
        </w:tc>
      </w:tr>
      <w:tr w14:paraId="245E3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vAlign w:val="center"/>
          </w:tcPr>
          <w:p w14:paraId="42871DA2">
            <w:pPr>
              <w:jc w:val="center"/>
              <w:rPr>
                <w:rFonts w:ascii="Times New Roman" w:hAnsi="Times New Roman" w:cs="Times New Roman"/>
                <w:kern w:val="0"/>
                <w:sz w:val="21"/>
                <w:szCs w:val="21"/>
              </w:rPr>
            </w:pPr>
          </w:p>
        </w:tc>
        <w:tc>
          <w:tcPr>
            <w:tcW w:w="4345" w:type="pct"/>
            <w:vAlign w:val="center"/>
          </w:tcPr>
          <w:p w14:paraId="58B2E5C0">
            <w:pPr>
              <w:keepNext w:val="0"/>
              <w:keepLines w:val="0"/>
              <w:widowControl/>
              <w:suppressLineNumbers w:val="0"/>
              <w:jc w:val="left"/>
              <w:rPr>
                <w:rFonts w:ascii="瀹嬩綋" w:hAnsi="瀹嬩綋" w:eastAsia="瀹嬩綋" w:cs="瀹嬩綋"/>
                <w:color w:val="000000"/>
                <w:kern w:val="0"/>
                <w:sz w:val="21"/>
                <w:szCs w:val="21"/>
                <w:lang w:val="en-US" w:eastAsia="zh-CN" w:bidi="ar"/>
              </w:rPr>
            </w:pPr>
            <w:r>
              <w:rPr>
                <w:rFonts w:ascii="瀹嬩綋" w:hAnsi="瀹嬩綋" w:eastAsia="瀹嬩綋" w:cs="瀹嬩綋"/>
                <w:color w:val="000000"/>
                <w:kern w:val="0"/>
                <w:sz w:val="21"/>
                <w:szCs w:val="21"/>
                <w:lang w:val="en-US" w:eastAsia="zh-CN" w:bidi="ar"/>
              </w:rPr>
              <w:t>干散货堆垛实际堆存高度是否低于设计堆高。</w:t>
            </w:r>
          </w:p>
        </w:tc>
      </w:tr>
      <w:tr w14:paraId="48103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jc w:val="center"/>
        </w:trPr>
        <w:tc>
          <w:tcPr>
            <w:tcW w:w="654" w:type="pct"/>
            <w:vMerge w:val="continue"/>
            <w:vAlign w:val="center"/>
          </w:tcPr>
          <w:p w14:paraId="5574E348">
            <w:pPr>
              <w:jc w:val="center"/>
              <w:rPr>
                <w:rFonts w:ascii="Times New Roman" w:hAnsi="Times New Roman" w:cs="Times New Roman"/>
                <w:kern w:val="0"/>
                <w:sz w:val="21"/>
                <w:szCs w:val="21"/>
              </w:rPr>
            </w:pPr>
          </w:p>
        </w:tc>
        <w:tc>
          <w:tcPr>
            <w:tcW w:w="4345" w:type="pct"/>
            <w:vAlign w:val="center"/>
          </w:tcPr>
          <w:p w14:paraId="7671E7FD">
            <w:pPr>
              <w:keepNext w:val="0"/>
              <w:keepLines w:val="0"/>
              <w:widowControl/>
              <w:suppressLineNumbers w:val="0"/>
              <w:jc w:val="left"/>
              <w:rPr>
                <w:rFonts w:ascii="瀹嬩綋" w:hAnsi="瀹嬩綋" w:eastAsia="瀹嬩綋" w:cs="瀹嬩綋"/>
                <w:color w:val="000000"/>
                <w:kern w:val="0"/>
                <w:sz w:val="21"/>
                <w:szCs w:val="21"/>
                <w:lang w:val="en-US" w:eastAsia="zh-CN" w:bidi="ar"/>
              </w:rPr>
            </w:pPr>
            <w:r>
              <w:rPr>
                <w:rFonts w:ascii="瀹嬩綋" w:hAnsi="瀹嬩綋" w:eastAsia="瀹嬩綋" w:cs="瀹嬩綋"/>
                <w:color w:val="000000"/>
                <w:kern w:val="0"/>
                <w:sz w:val="21"/>
                <w:szCs w:val="21"/>
                <w:lang w:val="en-US" w:eastAsia="zh-CN" w:bidi="ar"/>
              </w:rPr>
              <w:t>干散货堆场固定喷淋系统（如有）主要检查有效覆盖面积是否能够满足</w:t>
            </w:r>
            <w:r>
              <w:rPr>
                <w:rFonts w:hint="default" w:ascii="瀹嬩綋" w:hAnsi="瀹嬩綋" w:eastAsia="瀹嬩綋" w:cs="瀹嬩綋"/>
                <w:color w:val="000000"/>
                <w:kern w:val="0"/>
                <w:sz w:val="21"/>
                <w:szCs w:val="21"/>
                <w:lang w:val="en-US" w:eastAsia="zh-CN" w:bidi="ar"/>
              </w:rPr>
              <w:t>除尘需求、喷头流量是否正常。</w:t>
            </w:r>
          </w:p>
        </w:tc>
      </w:tr>
      <w:tr w14:paraId="537C0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vAlign w:val="center"/>
          </w:tcPr>
          <w:p w14:paraId="1C1AEBB9">
            <w:pPr>
              <w:jc w:val="center"/>
              <w:rPr>
                <w:rFonts w:ascii="Times New Roman" w:hAnsi="Times New Roman" w:cs="Times New Roman"/>
                <w:kern w:val="0"/>
                <w:sz w:val="21"/>
                <w:szCs w:val="21"/>
              </w:rPr>
            </w:pPr>
          </w:p>
        </w:tc>
        <w:tc>
          <w:tcPr>
            <w:tcW w:w="4345" w:type="pct"/>
            <w:vAlign w:val="center"/>
          </w:tcPr>
          <w:p w14:paraId="4FD1E588">
            <w:pPr>
              <w:keepNext w:val="0"/>
              <w:keepLines w:val="0"/>
              <w:widowControl/>
              <w:suppressLineNumbers w:val="0"/>
              <w:jc w:val="left"/>
              <w:rPr>
                <w:rFonts w:ascii="Times New Roman" w:hAnsi="Times New Roman" w:cs="Times New Roman"/>
                <w:kern w:val="0"/>
                <w:sz w:val="21"/>
                <w:szCs w:val="21"/>
              </w:rPr>
            </w:pPr>
            <w:r>
              <w:rPr>
                <w:rFonts w:ascii="瀹嬩綋" w:hAnsi="瀹嬩綋" w:eastAsia="瀹嬩綋" w:cs="瀹嬩綋"/>
                <w:color w:val="000000"/>
                <w:kern w:val="0"/>
                <w:sz w:val="21"/>
                <w:szCs w:val="21"/>
                <w:lang w:val="en-US" w:eastAsia="zh-CN" w:bidi="ar"/>
              </w:rPr>
              <w:t>干散货场内装卸作业点是否开启喷淋系统或射雾器等进行洒水抑尘。</w:t>
            </w:r>
          </w:p>
        </w:tc>
      </w:tr>
      <w:tr w14:paraId="6AF10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654" w:type="pct"/>
            <w:vMerge w:val="continue"/>
            <w:vAlign w:val="center"/>
          </w:tcPr>
          <w:p w14:paraId="03CB72A0">
            <w:pPr>
              <w:jc w:val="center"/>
              <w:rPr>
                <w:rFonts w:ascii="Times New Roman" w:hAnsi="Times New Roman" w:cs="Times New Roman"/>
                <w:kern w:val="0"/>
                <w:sz w:val="21"/>
                <w:szCs w:val="21"/>
              </w:rPr>
            </w:pPr>
          </w:p>
        </w:tc>
        <w:tc>
          <w:tcPr>
            <w:tcW w:w="4345" w:type="pct"/>
            <w:vAlign w:val="center"/>
          </w:tcPr>
          <w:p w14:paraId="5A784131">
            <w:pPr>
              <w:keepNext w:val="0"/>
              <w:keepLines w:val="0"/>
              <w:widowControl/>
              <w:suppressLineNumbers w:val="0"/>
              <w:jc w:val="left"/>
              <w:rPr>
                <w:rFonts w:ascii="瀹嬩綋" w:hAnsi="瀹嬩綋" w:eastAsia="瀹嬩綋" w:cs="瀹嬩綋"/>
                <w:color w:val="000000"/>
                <w:kern w:val="0"/>
                <w:sz w:val="21"/>
                <w:szCs w:val="21"/>
                <w:lang w:val="en-US" w:eastAsia="zh-CN" w:bidi="ar"/>
              </w:rPr>
            </w:pPr>
            <w:r>
              <w:rPr>
                <w:rFonts w:ascii="瀹嬩綋" w:hAnsi="瀹嬩綋" w:eastAsia="瀹嬩綋" w:cs="瀹嬩綋"/>
                <w:color w:val="000000"/>
                <w:kern w:val="0"/>
                <w:sz w:val="21"/>
                <w:szCs w:val="21"/>
                <w:lang w:val="en-US" w:eastAsia="zh-CN" w:bidi="ar"/>
              </w:rPr>
              <w:t>干散货装卸作业区域及场内道路是否及时采取清扫、冲洗等措施，确保</w:t>
            </w:r>
            <w:r>
              <w:rPr>
                <w:rFonts w:hint="default" w:ascii="瀹嬩綋" w:hAnsi="瀹嬩綋" w:eastAsia="瀹嬩綋" w:cs="瀹嬩綋"/>
                <w:color w:val="000000"/>
                <w:kern w:val="0"/>
                <w:sz w:val="21"/>
                <w:szCs w:val="21"/>
                <w:lang w:val="en-US" w:eastAsia="zh-CN" w:bidi="ar"/>
              </w:rPr>
              <w:t>不产生明显扬尘。</w:t>
            </w:r>
          </w:p>
        </w:tc>
      </w:tr>
      <w:tr w14:paraId="218EE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vAlign w:val="center"/>
          </w:tcPr>
          <w:p w14:paraId="629F1813">
            <w:pPr>
              <w:jc w:val="center"/>
              <w:rPr>
                <w:rFonts w:ascii="Times New Roman" w:hAnsi="Times New Roman" w:cs="Times New Roman"/>
                <w:kern w:val="0"/>
                <w:sz w:val="21"/>
                <w:szCs w:val="21"/>
              </w:rPr>
            </w:pPr>
          </w:p>
        </w:tc>
        <w:tc>
          <w:tcPr>
            <w:tcW w:w="4345" w:type="pct"/>
            <w:vAlign w:val="center"/>
          </w:tcPr>
          <w:p w14:paraId="0C6B6F17">
            <w:pPr>
              <w:keepNext w:val="0"/>
              <w:keepLines w:val="0"/>
              <w:widowControl/>
              <w:suppressLineNumbers w:val="0"/>
              <w:jc w:val="left"/>
              <w:rPr>
                <w:rFonts w:ascii="Times New Roman" w:hAnsi="Times New Roman" w:cs="Times New Roman"/>
                <w:kern w:val="0"/>
                <w:sz w:val="21"/>
                <w:szCs w:val="21"/>
              </w:rPr>
            </w:pPr>
            <w:r>
              <w:rPr>
                <w:rFonts w:ascii="瀹嬩綋" w:hAnsi="瀹嬩綋" w:eastAsia="瀹嬩綋" w:cs="瀹嬩綋"/>
                <w:color w:val="000000"/>
                <w:kern w:val="0"/>
                <w:sz w:val="21"/>
                <w:szCs w:val="21"/>
                <w:lang w:val="en-US" w:eastAsia="zh-CN" w:bidi="ar"/>
              </w:rPr>
              <w:t>干散货集疏运车辆是否采用封闭车型或进行有效覆盖。</w:t>
            </w:r>
          </w:p>
        </w:tc>
      </w:tr>
      <w:tr w14:paraId="3115B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654" w:type="pct"/>
            <w:vMerge w:val="continue"/>
            <w:vAlign w:val="center"/>
          </w:tcPr>
          <w:p w14:paraId="268A9C18">
            <w:pPr>
              <w:jc w:val="center"/>
              <w:rPr>
                <w:rFonts w:ascii="Times New Roman" w:hAnsi="Times New Roman" w:cs="Times New Roman"/>
                <w:kern w:val="0"/>
                <w:sz w:val="21"/>
                <w:szCs w:val="21"/>
              </w:rPr>
            </w:pPr>
          </w:p>
        </w:tc>
        <w:tc>
          <w:tcPr>
            <w:tcW w:w="4345" w:type="pct"/>
            <w:vAlign w:val="center"/>
          </w:tcPr>
          <w:p w14:paraId="504EAC70">
            <w:pPr>
              <w:keepNext w:val="0"/>
              <w:keepLines w:val="0"/>
              <w:widowControl/>
              <w:suppressLineNumbers w:val="0"/>
              <w:jc w:val="left"/>
              <w:rPr>
                <w:rFonts w:ascii="瀹嬩綋" w:hAnsi="瀹嬩綋" w:eastAsia="瀹嬩綋" w:cs="瀹嬩綋"/>
                <w:color w:val="000000"/>
                <w:kern w:val="0"/>
                <w:sz w:val="21"/>
                <w:szCs w:val="21"/>
                <w:lang w:val="en-US" w:eastAsia="zh-CN" w:bidi="ar"/>
              </w:rPr>
            </w:pPr>
            <w:r>
              <w:rPr>
                <w:rFonts w:ascii="瀹嬩綋" w:hAnsi="瀹嬩綋" w:eastAsia="瀹嬩綋" w:cs="瀹嬩綋"/>
                <w:color w:val="000000"/>
                <w:kern w:val="0"/>
                <w:sz w:val="21"/>
                <w:szCs w:val="21"/>
                <w:lang w:val="en-US" w:eastAsia="zh-CN" w:bidi="ar"/>
              </w:rPr>
              <w:t>干散货场内是否建设车辆冲洗设施，车辆驶出作业区前是否于冲洗点进</w:t>
            </w:r>
            <w:r>
              <w:rPr>
                <w:rFonts w:hint="default" w:ascii="瀹嬩綋" w:hAnsi="瀹嬩綋" w:eastAsia="瀹嬩綋" w:cs="瀹嬩綋"/>
                <w:color w:val="000000"/>
                <w:kern w:val="0"/>
                <w:sz w:val="21"/>
                <w:szCs w:val="21"/>
                <w:lang w:val="en-US" w:eastAsia="zh-CN" w:bidi="ar"/>
              </w:rPr>
              <w:t>行车轮冲洗。</w:t>
            </w:r>
          </w:p>
        </w:tc>
      </w:tr>
      <w:tr w14:paraId="14E84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654" w:type="pct"/>
            <w:vMerge w:val="continue"/>
            <w:vAlign w:val="center"/>
          </w:tcPr>
          <w:p w14:paraId="31F5D654">
            <w:pPr>
              <w:jc w:val="center"/>
              <w:rPr>
                <w:rFonts w:ascii="Times New Roman" w:hAnsi="Times New Roman" w:cs="Times New Roman"/>
                <w:kern w:val="0"/>
                <w:sz w:val="21"/>
                <w:szCs w:val="21"/>
              </w:rPr>
            </w:pPr>
          </w:p>
        </w:tc>
        <w:tc>
          <w:tcPr>
            <w:tcW w:w="4345" w:type="pct"/>
            <w:vAlign w:val="center"/>
          </w:tcPr>
          <w:p w14:paraId="0119933E">
            <w:pPr>
              <w:keepNext w:val="0"/>
              <w:keepLines w:val="0"/>
              <w:widowControl/>
              <w:suppressLineNumbers w:val="0"/>
              <w:jc w:val="left"/>
              <w:rPr>
                <w:rFonts w:ascii="瀹嬩綋" w:hAnsi="瀹嬩綋" w:eastAsia="瀹嬩綋" w:cs="瀹嬩綋"/>
                <w:color w:val="000000"/>
                <w:kern w:val="0"/>
                <w:sz w:val="21"/>
                <w:szCs w:val="21"/>
                <w:lang w:val="en-US" w:eastAsia="zh-CN" w:bidi="ar"/>
              </w:rPr>
            </w:pPr>
            <w:r>
              <w:rPr>
                <w:rFonts w:ascii="瀹嬩綋" w:hAnsi="瀹嬩綋" w:eastAsia="瀹嬩綋" w:cs="瀹嬩綋"/>
                <w:color w:val="000000"/>
                <w:kern w:val="0"/>
                <w:sz w:val="21"/>
                <w:szCs w:val="21"/>
                <w:lang w:val="en-US" w:eastAsia="zh-CN" w:bidi="ar"/>
              </w:rPr>
              <w:t>干散货带式输送机（如有）除需要与装卸设备配套装卸的区段外，是否</w:t>
            </w:r>
            <w:r>
              <w:rPr>
                <w:rFonts w:hint="default" w:ascii="瀹嬩綋" w:hAnsi="瀹嬩綋" w:eastAsia="瀹嬩綋" w:cs="瀹嬩綋"/>
                <w:color w:val="000000"/>
                <w:kern w:val="0"/>
                <w:sz w:val="21"/>
                <w:szCs w:val="21"/>
                <w:lang w:val="en-US" w:eastAsia="zh-CN" w:bidi="ar"/>
              </w:rPr>
              <w:t>采用防护罩或廊道予以封闭。</w:t>
            </w:r>
          </w:p>
        </w:tc>
      </w:tr>
      <w:tr w14:paraId="63712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654" w:type="pct"/>
            <w:vMerge w:val="continue"/>
            <w:vAlign w:val="center"/>
          </w:tcPr>
          <w:p w14:paraId="558E327D">
            <w:pPr>
              <w:jc w:val="center"/>
              <w:rPr>
                <w:rFonts w:ascii="Times New Roman" w:hAnsi="Times New Roman" w:cs="Times New Roman"/>
                <w:kern w:val="0"/>
                <w:sz w:val="21"/>
                <w:szCs w:val="21"/>
              </w:rPr>
            </w:pPr>
          </w:p>
        </w:tc>
        <w:tc>
          <w:tcPr>
            <w:tcW w:w="4345" w:type="pct"/>
            <w:vAlign w:val="center"/>
          </w:tcPr>
          <w:p w14:paraId="07239914">
            <w:pPr>
              <w:keepNext w:val="0"/>
              <w:keepLines w:val="0"/>
              <w:widowControl/>
              <w:suppressLineNumbers w:val="0"/>
              <w:jc w:val="left"/>
              <w:rPr>
                <w:rFonts w:ascii="瀹嬩綋" w:hAnsi="瀹嬩綋" w:eastAsia="瀹嬩綋" w:cs="瀹嬩綋"/>
                <w:color w:val="000000"/>
                <w:kern w:val="0"/>
                <w:sz w:val="21"/>
                <w:szCs w:val="21"/>
                <w:lang w:val="en-US" w:eastAsia="zh-CN" w:bidi="ar"/>
              </w:rPr>
            </w:pPr>
            <w:r>
              <w:rPr>
                <w:rFonts w:ascii="瀹嬩綋" w:hAnsi="瀹嬩綋" w:eastAsia="瀹嬩綋" w:cs="瀹嬩綋"/>
                <w:color w:val="000000"/>
                <w:kern w:val="0"/>
                <w:sz w:val="21"/>
                <w:szCs w:val="21"/>
                <w:lang w:val="en-US" w:eastAsia="zh-CN" w:bidi="ar"/>
              </w:rPr>
              <w:t>干散货转运站（如有）是否在转接落料处设置导料槽、密闭罩、防尘帘</w:t>
            </w:r>
            <w:r>
              <w:rPr>
                <w:rFonts w:hint="default" w:ascii="瀹嬩綋" w:hAnsi="瀹嬩綋" w:eastAsia="瀹嬩綋" w:cs="瀹嬩綋"/>
                <w:color w:val="000000"/>
                <w:kern w:val="0"/>
                <w:sz w:val="21"/>
                <w:szCs w:val="21"/>
                <w:lang w:val="en-US" w:eastAsia="zh-CN" w:bidi="ar"/>
              </w:rPr>
              <w:t>等密闭设施及干式、湿式喷淋除尘设施。</w:t>
            </w:r>
          </w:p>
        </w:tc>
      </w:tr>
      <w:tr w14:paraId="12730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vAlign w:val="center"/>
          </w:tcPr>
          <w:p w14:paraId="45FE0747">
            <w:pPr>
              <w:jc w:val="center"/>
              <w:rPr>
                <w:rFonts w:ascii="Times New Roman" w:hAnsi="Times New Roman" w:cs="Times New Roman"/>
                <w:kern w:val="0"/>
                <w:sz w:val="21"/>
                <w:szCs w:val="21"/>
              </w:rPr>
            </w:pPr>
          </w:p>
        </w:tc>
        <w:tc>
          <w:tcPr>
            <w:tcW w:w="4345" w:type="pct"/>
            <w:vAlign w:val="center"/>
          </w:tcPr>
          <w:p w14:paraId="16B86AFD">
            <w:pPr>
              <w:keepNext w:val="0"/>
              <w:keepLines w:val="0"/>
              <w:widowControl/>
              <w:suppressLineNumbers w:val="0"/>
              <w:jc w:val="left"/>
              <w:rPr>
                <w:rFonts w:ascii="瀹嬩綋" w:hAnsi="瀹嬩綋" w:eastAsia="瀹嬩綋" w:cs="瀹嬩綋"/>
                <w:color w:val="000000"/>
                <w:kern w:val="0"/>
                <w:sz w:val="21"/>
                <w:szCs w:val="21"/>
                <w:lang w:val="en-US" w:eastAsia="zh-CN" w:bidi="ar"/>
              </w:rPr>
            </w:pPr>
            <w:r>
              <w:rPr>
                <w:rFonts w:ascii="瀹嬩綋" w:hAnsi="瀹嬩綋" w:eastAsia="瀹嬩綋" w:cs="瀹嬩綋"/>
                <w:color w:val="000000"/>
                <w:kern w:val="0"/>
                <w:sz w:val="21"/>
                <w:szCs w:val="21"/>
                <w:lang w:val="en-US" w:eastAsia="zh-CN" w:bidi="ar"/>
              </w:rPr>
              <w:t>干散货</w:t>
            </w:r>
            <w:r>
              <w:rPr>
                <w:rFonts w:hint="eastAsia" w:ascii="瀹嬩綋" w:hAnsi="瀹嬩綋" w:eastAsia="瀹嬩綋" w:cs="瀹嬩綋"/>
                <w:color w:val="000000"/>
                <w:kern w:val="0"/>
                <w:sz w:val="21"/>
                <w:szCs w:val="21"/>
                <w:lang w:val="en-US" w:eastAsia="zh-CN" w:bidi="ar"/>
              </w:rPr>
              <w:t>港口</w:t>
            </w:r>
            <w:r>
              <w:rPr>
                <w:rFonts w:ascii="瀹嬩綋" w:hAnsi="瀹嬩綋" w:eastAsia="瀹嬩綋" w:cs="瀹嬩綋"/>
                <w:color w:val="000000"/>
                <w:kern w:val="0"/>
                <w:sz w:val="21"/>
                <w:szCs w:val="21"/>
                <w:lang w:val="en-US" w:eastAsia="zh-CN" w:bidi="ar"/>
              </w:rPr>
              <w:t>场内道路是否进行铺装、硬化处理。</w:t>
            </w:r>
          </w:p>
        </w:tc>
      </w:tr>
      <w:tr w14:paraId="1E683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654" w:type="pct"/>
            <w:vMerge w:val="restart"/>
            <w:vAlign w:val="center"/>
          </w:tcPr>
          <w:p w14:paraId="4DD88260">
            <w:pPr>
              <w:jc w:val="center"/>
              <w:rPr>
                <w:rFonts w:ascii="Times New Roman" w:hAnsi="Times New Roman" w:cs="Times New Roman"/>
                <w:kern w:val="0"/>
                <w:sz w:val="21"/>
                <w:szCs w:val="21"/>
              </w:rPr>
            </w:pPr>
            <w:r>
              <w:rPr>
                <w:rFonts w:hint="eastAsia" w:ascii="Times New Roman" w:hAnsi="Times New Roman" w:cs="Times New Roman"/>
                <w:kern w:val="0"/>
                <w:sz w:val="21"/>
                <w:szCs w:val="21"/>
                <w:lang w:val="en-US" w:eastAsia="zh-CN"/>
              </w:rPr>
              <w:t>颗粒物</w:t>
            </w:r>
            <w:r>
              <w:rPr>
                <w:rFonts w:ascii="Times New Roman" w:hAnsi="Times New Roman" w:cs="Times New Roman"/>
                <w:kern w:val="0"/>
                <w:sz w:val="21"/>
                <w:szCs w:val="21"/>
              </w:rPr>
              <w:t>污染防治设施运行维护情况</w:t>
            </w:r>
          </w:p>
        </w:tc>
        <w:tc>
          <w:tcPr>
            <w:tcW w:w="4345" w:type="pct"/>
            <w:vAlign w:val="center"/>
          </w:tcPr>
          <w:p w14:paraId="060E894D">
            <w:pPr>
              <w:keepNext w:val="0"/>
              <w:keepLines w:val="0"/>
              <w:widowControl/>
              <w:suppressLineNumbers w:val="0"/>
              <w:jc w:val="left"/>
              <w:rPr>
                <w:rFonts w:ascii="Times New Roman" w:hAnsi="Times New Roman" w:cs="Times New Roman"/>
                <w:kern w:val="0"/>
                <w:sz w:val="21"/>
                <w:szCs w:val="21"/>
              </w:rPr>
            </w:pPr>
            <w:r>
              <w:rPr>
                <w:rFonts w:ascii="瀹嬩綋" w:hAnsi="瀹嬩綋" w:eastAsia="瀹嬩綋" w:cs="瀹嬩綋"/>
                <w:color w:val="000000"/>
                <w:kern w:val="0"/>
                <w:sz w:val="21"/>
                <w:szCs w:val="21"/>
                <w:lang w:val="en-US" w:eastAsia="zh-CN" w:bidi="ar"/>
              </w:rPr>
              <w:t>大气污染防治设施是否与其对应的生产工艺设备同步运转。</w:t>
            </w:r>
          </w:p>
        </w:tc>
      </w:tr>
      <w:tr w14:paraId="5CAA9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654" w:type="pct"/>
            <w:vMerge w:val="continue"/>
            <w:vAlign w:val="center"/>
          </w:tcPr>
          <w:p w14:paraId="06146F73">
            <w:pPr>
              <w:jc w:val="center"/>
              <w:rPr>
                <w:rFonts w:ascii="Times New Roman" w:hAnsi="Times New Roman" w:cs="Times New Roman"/>
                <w:kern w:val="0"/>
                <w:sz w:val="21"/>
                <w:szCs w:val="21"/>
              </w:rPr>
            </w:pPr>
          </w:p>
        </w:tc>
        <w:tc>
          <w:tcPr>
            <w:tcW w:w="4345" w:type="pct"/>
            <w:vAlign w:val="center"/>
          </w:tcPr>
          <w:p w14:paraId="59042FAB">
            <w:pPr>
              <w:pStyle w:val="13"/>
              <w:ind w:firstLine="0" w:firstLineChars="0"/>
              <w:rPr>
                <w:rFonts w:ascii="Times New Roman" w:hAnsi="Times New Roman" w:cs="Times New Roman"/>
                <w:kern w:val="0"/>
                <w:sz w:val="21"/>
                <w:szCs w:val="21"/>
              </w:rPr>
            </w:pPr>
            <w:r>
              <w:rPr>
                <w:rFonts w:ascii="Times New Roman" w:hAnsi="Times New Roman" w:cs="Times New Roman"/>
                <w:kern w:val="0"/>
                <w:sz w:val="21"/>
                <w:szCs w:val="21"/>
              </w:rPr>
              <w:t>布袋除尘器是否安装压差计，及时更换除尘器滤袋，保证滤袋完整无破损。</w:t>
            </w:r>
          </w:p>
        </w:tc>
      </w:tr>
      <w:tr w14:paraId="615A1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54" w:type="pct"/>
            <w:vMerge w:val="continue"/>
            <w:vAlign w:val="center"/>
          </w:tcPr>
          <w:p w14:paraId="65E13ECD">
            <w:pPr>
              <w:jc w:val="center"/>
              <w:rPr>
                <w:rFonts w:ascii="Times New Roman" w:hAnsi="Times New Roman" w:cs="Times New Roman"/>
                <w:kern w:val="0"/>
                <w:sz w:val="21"/>
                <w:szCs w:val="21"/>
              </w:rPr>
            </w:pPr>
          </w:p>
        </w:tc>
        <w:tc>
          <w:tcPr>
            <w:tcW w:w="4345" w:type="pct"/>
            <w:vAlign w:val="center"/>
          </w:tcPr>
          <w:p w14:paraId="0D332A39">
            <w:pPr>
              <w:pStyle w:val="13"/>
              <w:ind w:firstLine="0" w:firstLineChars="0"/>
              <w:rPr>
                <w:rFonts w:ascii="Times New Roman" w:hAnsi="Times New Roman" w:cs="Times New Roman"/>
                <w:kern w:val="0"/>
                <w:sz w:val="21"/>
                <w:szCs w:val="21"/>
              </w:rPr>
            </w:pPr>
            <w:r>
              <w:rPr>
                <w:rFonts w:ascii="Times New Roman" w:hAnsi="Times New Roman" w:cs="Times New Roman"/>
                <w:kern w:val="0"/>
                <w:sz w:val="21"/>
                <w:szCs w:val="21"/>
              </w:rPr>
              <w:t>静电除尘器</w:t>
            </w:r>
            <w:r>
              <w:rPr>
                <w:rFonts w:hint="eastAsia" w:ascii="Times New Roman" w:hAnsi="Times New Roman" w:cs="Times New Roman"/>
                <w:kern w:val="0"/>
                <w:sz w:val="21"/>
                <w:szCs w:val="21"/>
              </w:rPr>
              <w:t>是否</w:t>
            </w:r>
            <w:r>
              <w:rPr>
                <w:rFonts w:ascii="Times New Roman" w:hAnsi="Times New Roman" w:cs="Times New Roman"/>
                <w:kern w:val="0"/>
                <w:sz w:val="21"/>
                <w:szCs w:val="21"/>
              </w:rPr>
              <w:t>定期检修维护电晕极、振打清灰装置。</w:t>
            </w:r>
          </w:p>
        </w:tc>
      </w:tr>
      <w:tr w14:paraId="2E1FE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vAlign w:val="center"/>
          </w:tcPr>
          <w:p w14:paraId="13658424">
            <w:pPr>
              <w:jc w:val="center"/>
              <w:rPr>
                <w:rFonts w:ascii="Times New Roman" w:hAnsi="Times New Roman" w:cs="Times New Roman"/>
                <w:kern w:val="0"/>
                <w:sz w:val="21"/>
                <w:szCs w:val="21"/>
              </w:rPr>
            </w:pPr>
          </w:p>
        </w:tc>
        <w:tc>
          <w:tcPr>
            <w:tcW w:w="4345" w:type="pct"/>
            <w:vAlign w:val="center"/>
          </w:tcPr>
          <w:p w14:paraId="388B0D27">
            <w:pPr>
              <w:pStyle w:val="13"/>
              <w:ind w:firstLine="0" w:firstLineChars="0"/>
              <w:rPr>
                <w:rFonts w:ascii="Times New Roman" w:hAnsi="Times New Roman" w:cs="Times New Roman"/>
                <w:kern w:val="0"/>
                <w:sz w:val="21"/>
                <w:szCs w:val="21"/>
              </w:rPr>
            </w:pPr>
            <w:r>
              <w:rPr>
                <w:rFonts w:ascii="Times New Roman" w:hAnsi="Times New Roman" w:cs="Times New Roman"/>
                <w:kern w:val="0"/>
                <w:sz w:val="21"/>
                <w:szCs w:val="21"/>
              </w:rPr>
              <w:t>湿式除尘器</w:t>
            </w:r>
            <w:r>
              <w:rPr>
                <w:rFonts w:hint="eastAsia" w:ascii="Times New Roman" w:hAnsi="Times New Roman" w:cs="Times New Roman"/>
                <w:kern w:val="0"/>
                <w:sz w:val="21"/>
                <w:szCs w:val="21"/>
              </w:rPr>
              <w:t>是否</w:t>
            </w:r>
            <w:r>
              <w:rPr>
                <w:rFonts w:ascii="Times New Roman" w:hAnsi="Times New Roman" w:cs="Times New Roman"/>
                <w:kern w:val="0"/>
                <w:sz w:val="21"/>
                <w:szCs w:val="21"/>
              </w:rPr>
              <w:t>定期检查喷淋头、循环水泵等设施。</w:t>
            </w:r>
          </w:p>
        </w:tc>
      </w:tr>
      <w:tr w14:paraId="288AF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restart"/>
            <w:vAlign w:val="center"/>
          </w:tcPr>
          <w:p w14:paraId="494437FA">
            <w:pPr>
              <w:jc w:val="center"/>
              <w:rPr>
                <w:rFonts w:ascii="Times New Roman" w:hAnsi="Times New Roman" w:cs="Times New Roman"/>
                <w:kern w:val="0"/>
                <w:sz w:val="21"/>
                <w:szCs w:val="21"/>
              </w:rPr>
            </w:pPr>
            <w:r>
              <w:rPr>
                <w:rFonts w:ascii="Times New Roman" w:hAnsi="Times New Roman" w:cs="Times New Roman"/>
                <w:szCs w:val="21"/>
              </w:rPr>
              <w:t>环保制度建设情况</w:t>
            </w:r>
          </w:p>
        </w:tc>
        <w:tc>
          <w:tcPr>
            <w:tcW w:w="4345" w:type="pct"/>
            <w:shd w:val="clear" w:color="auto" w:fill="auto"/>
            <w:vAlign w:val="center"/>
          </w:tcPr>
          <w:p w14:paraId="090D1637">
            <w:pPr>
              <w:pStyle w:val="13"/>
              <w:ind w:firstLine="0" w:firstLineChars="0"/>
              <w:rPr>
                <w:rFonts w:ascii="Times New Roman" w:hAnsi="Times New Roman" w:eastAsia="宋体" w:cs="Times New Roman"/>
                <w:sz w:val="22"/>
                <w:szCs w:val="21"/>
                <w:lang w:val="en-US" w:eastAsia="en-US" w:bidi="ar-SA"/>
              </w:rPr>
            </w:pPr>
            <w:r>
              <w:rPr>
                <w:rFonts w:ascii="Times New Roman" w:hAnsi="Times New Roman" w:cs="Times New Roman"/>
                <w:szCs w:val="21"/>
              </w:rPr>
              <w:t>是否建立企业环境保护组织框架，明确环境保护相关人员岗位职责和责任。</w:t>
            </w:r>
          </w:p>
        </w:tc>
      </w:tr>
      <w:tr w14:paraId="49534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54" w:type="pct"/>
            <w:vMerge w:val="continue"/>
            <w:vAlign w:val="center"/>
          </w:tcPr>
          <w:p w14:paraId="505A6C4B">
            <w:pPr>
              <w:jc w:val="center"/>
              <w:rPr>
                <w:rFonts w:ascii="Times New Roman" w:hAnsi="Times New Roman" w:cs="Times New Roman"/>
                <w:kern w:val="0"/>
                <w:sz w:val="21"/>
                <w:szCs w:val="21"/>
              </w:rPr>
            </w:pPr>
          </w:p>
        </w:tc>
        <w:tc>
          <w:tcPr>
            <w:tcW w:w="4345" w:type="pct"/>
            <w:shd w:val="clear" w:color="auto" w:fill="auto"/>
            <w:vAlign w:val="center"/>
          </w:tcPr>
          <w:p w14:paraId="565F4517">
            <w:pPr>
              <w:pStyle w:val="13"/>
              <w:ind w:firstLine="0" w:firstLineChars="0"/>
              <w:rPr>
                <w:rFonts w:ascii="Times New Roman" w:hAnsi="Times New Roman" w:eastAsia="宋体" w:cs="Times New Roman"/>
                <w:sz w:val="22"/>
                <w:szCs w:val="21"/>
                <w:lang w:val="en-US" w:eastAsia="en-US" w:bidi="ar-SA"/>
              </w:rPr>
            </w:pPr>
            <w:r>
              <w:rPr>
                <w:rFonts w:ascii="Times New Roman" w:hAnsi="Times New Roman" w:cs="Times New Roman"/>
                <w:szCs w:val="21"/>
              </w:rPr>
              <w:t>是否按照环境保护管理要求运行和维护污染防治设施，建立环境管理制度。</w:t>
            </w:r>
          </w:p>
        </w:tc>
      </w:tr>
      <w:tr w14:paraId="4F854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vAlign w:val="center"/>
          </w:tcPr>
          <w:p w14:paraId="1F746F90">
            <w:pPr>
              <w:jc w:val="center"/>
              <w:rPr>
                <w:rFonts w:ascii="Times New Roman" w:hAnsi="Times New Roman" w:cs="Times New Roman"/>
                <w:kern w:val="0"/>
                <w:sz w:val="21"/>
                <w:szCs w:val="21"/>
              </w:rPr>
            </w:pPr>
          </w:p>
        </w:tc>
        <w:tc>
          <w:tcPr>
            <w:tcW w:w="4345" w:type="pct"/>
            <w:shd w:val="clear" w:color="auto" w:fill="auto"/>
            <w:vAlign w:val="center"/>
          </w:tcPr>
          <w:p w14:paraId="6534234F">
            <w:pPr>
              <w:pStyle w:val="13"/>
              <w:ind w:firstLine="0" w:firstLineChars="0"/>
              <w:rPr>
                <w:rFonts w:ascii="Times New Roman" w:hAnsi="Times New Roman" w:eastAsia="宋体" w:cs="Times New Roman"/>
                <w:sz w:val="22"/>
                <w:szCs w:val="21"/>
                <w:lang w:val="en-US" w:eastAsia="en-US" w:bidi="ar-SA"/>
              </w:rPr>
            </w:pPr>
            <w:r>
              <w:rPr>
                <w:rFonts w:ascii="Times New Roman" w:hAnsi="Times New Roman" w:cs="Times New Roman"/>
                <w:szCs w:val="21"/>
              </w:rPr>
              <w:t>是否按照规定建立健全隐患排查治理制度。</w:t>
            </w:r>
          </w:p>
        </w:tc>
      </w:tr>
      <w:tr w14:paraId="581F1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restart"/>
            <w:vAlign w:val="center"/>
          </w:tcPr>
          <w:p w14:paraId="36F7B6F0">
            <w:pPr>
              <w:jc w:val="center"/>
              <w:rPr>
                <w:rFonts w:hint="eastAsia" w:ascii="Times New Roman" w:hAnsi="Times New Roman" w:cs="Times New Roman"/>
                <w:szCs w:val="21"/>
                <w:lang w:val="en-US" w:eastAsia="zh-CN"/>
              </w:rPr>
            </w:pPr>
            <w:r>
              <w:rPr>
                <w:rFonts w:hint="eastAsia" w:ascii="Times New Roman" w:hAnsi="Times New Roman" w:cs="Times New Roman"/>
                <w:szCs w:val="21"/>
                <w:lang w:val="en-US" w:eastAsia="zh-CN"/>
              </w:rPr>
              <w:t>环境监测计划执行情况</w:t>
            </w:r>
          </w:p>
          <w:p w14:paraId="07E719E1">
            <w:pPr>
              <w:jc w:val="center"/>
              <w:rPr>
                <w:rFonts w:ascii="Times New Roman" w:hAnsi="Times New Roman" w:cs="Times New Roman"/>
                <w:kern w:val="0"/>
                <w:sz w:val="21"/>
                <w:szCs w:val="21"/>
              </w:rPr>
            </w:pPr>
          </w:p>
          <w:p w14:paraId="5A8C9A82">
            <w:pPr>
              <w:jc w:val="center"/>
              <w:rPr>
                <w:rFonts w:ascii="Times New Roman" w:hAnsi="Times New Roman" w:cs="Times New Roman"/>
                <w:kern w:val="0"/>
                <w:sz w:val="21"/>
                <w:szCs w:val="21"/>
              </w:rPr>
            </w:pPr>
          </w:p>
        </w:tc>
        <w:tc>
          <w:tcPr>
            <w:tcW w:w="4345" w:type="pct"/>
            <w:shd w:val="clear" w:color="auto" w:fill="auto"/>
            <w:vAlign w:val="center"/>
          </w:tcPr>
          <w:p w14:paraId="5392AE68">
            <w:pPr>
              <w:keepNext w:val="0"/>
              <w:keepLines w:val="0"/>
              <w:widowControl/>
              <w:suppressLineNumbers w:val="0"/>
              <w:jc w:val="left"/>
              <w:rPr>
                <w:rFonts w:ascii="Times New Roman" w:hAnsi="Times New Roman" w:eastAsia="宋体" w:cs="Times New Roman"/>
                <w:sz w:val="22"/>
                <w:szCs w:val="21"/>
                <w:lang w:val="en-US" w:eastAsia="en-US" w:bidi="ar-SA"/>
              </w:rPr>
            </w:pPr>
            <w:r>
              <w:rPr>
                <w:rFonts w:ascii="瀹嬩綋" w:hAnsi="瀹嬩綋" w:eastAsia="瀹嬩綋" w:cs="瀹嬩綋"/>
                <w:color w:val="000000"/>
                <w:kern w:val="0"/>
                <w:sz w:val="21"/>
                <w:szCs w:val="21"/>
                <w:lang w:val="en-US" w:eastAsia="zh-CN" w:bidi="ar"/>
              </w:rPr>
              <w:t>是否制定了环境监测计划。</w:t>
            </w:r>
          </w:p>
        </w:tc>
      </w:tr>
      <w:tr w14:paraId="27530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vAlign w:val="center"/>
          </w:tcPr>
          <w:p w14:paraId="0BB48518">
            <w:pPr>
              <w:jc w:val="center"/>
              <w:rPr>
                <w:rFonts w:ascii="Times New Roman" w:hAnsi="Times New Roman" w:cs="Times New Roman"/>
                <w:kern w:val="0"/>
                <w:sz w:val="21"/>
                <w:szCs w:val="21"/>
              </w:rPr>
            </w:pPr>
          </w:p>
        </w:tc>
        <w:tc>
          <w:tcPr>
            <w:tcW w:w="4345" w:type="pct"/>
            <w:shd w:val="clear" w:color="auto" w:fill="auto"/>
            <w:vAlign w:val="center"/>
          </w:tcPr>
          <w:p w14:paraId="1BD778D9">
            <w:pPr>
              <w:keepNext w:val="0"/>
              <w:keepLines w:val="0"/>
              <w:widowControl/>
              <w:suppressLineNumbers w:val="0"/>
              <w:jc w:val="left"/>
              <w:rPr>
                <w:rFonts w:ascii="Times New Roman" w:hAnsi="Times New Roman" w:eastAsia="宋体" w:cs="Times New Roman"/>
                <w:sz w:val="22"/>
                <w:szCs w:val="21"/>
                <w:lang w:val="en-US" w:eastAsia="en-US" w:bidi="ar-SA"/>
              </w:rPr>
            </w:pPr>
            <w:r>
              <w:rPr>
                <w:rFonts w:ascii="瀹嬩綋" w:hAnsi="瀹嬩綋" w:eastAsia="瀹嬩綋" w:cs="瀹嬩綋"/>
                <w:color w:val="000000"/>
                <w:kern w:val="0"/>
                <w:sz w:val="21"/>
                <w:szCs w:val="21"/>
                <w:lang w:val="en-US" w:eastAsia="zh-CN" w:bidi="ar"/>
              </w:rPr>
              <w:t>是否遗漏</w:t>
            </w:r>
            <w:r>
              <w:rPr>
                <w:rFonts w:hint="eastAsia" w:ascii="瀹嬩綋" w:hAnsi="瀹嬩綋" w:eastAsia="瀹嬩綋" w:cs="瀹嬩綋"/>
                <w:color w:val="000000"/>
                <w:kern w:val="0"/>
                <w:sz w:val="21"/>
                <w:szCs w:val="21"/>
                <w:lang w:val="en-US" w:eastAsia="zh-CN" w:bidi="ar"/>
              </w:rPr>
              <w:t>废气</w:t>
            </w:r>
            <w:r>
              <w:rPr>
                <w:rFonts w:ascii="瀹嬩綋" w:hAnsi="瀹嬩綋" w:eastAsia="瀹嬩綋" w:cs="瀹嬩綋"/>
                <w:color w:val="000000"/>
                <w:kern w:val="0"/>
                <w:sz w:val="21"/>
                <w:szCs w:val="21"/>
                <w:lang w:val="en-US" w:eastAsia="zh-CN" w:bidi="ar"/>
              </w:rPr>
              <w:t>排放源（有组织废气、无组织废气</w:t>
            </w:r>
            <w:r>
              <w:rPr>
                <w:rFonts w:hint="default" w:ascii="瀹嬩綋" w:hAnsi="瀹嬩綋" w:eastAsia="瀹嬩綋" w:cs="瀹嬩綋"/>
                <w:color w:val="000000"/>
                <w:kern w:val="0"/>
                <w:sz w:val="21"/>
                <w:szCs w:val="21"/>
                <w:lang w:val="en-US" w:eastAsia="zh-CN" w:bidi="ar"/>
              </w:rPr>
              <w:t>）。</w:t>
            </w:r>
          </w:p>
        </w:tc>
      </w:tr>
      <w:tr w14:paraId="7D91A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vAlign w:val="center"/>
          </w:tcPr>
          <w:p w14:paraId="41E46950">
            <w:pPr>
              <w:jc w:val="center"/>
              <w:rPr>
                <w:rFonts w:ascii="Times New Roman" w:hAnsi="Times New Roman" w:cs="Times New Roman"/>
                <w:kern w:val="0"/>
                <w:sz w:val="21"/>
                <w:szCs w:val="21"/>
              </w:rPr>
            </w:pPr>
          </w:p>
        </w:tc>
        <w:tc>
          <w:tcPr>
            <w:tcW w:w="4345" w:type="pct"/>
            <w:shd w:val="clear" w:color="auto" w:fill="auto"/>
            <w:vAlign w:val="center"/>
          </w:tcPr>
          <w:p w14:paraId="12E3D81A">
            <w:pPr>
              <w:keepNext w:val="0"/>
              <w:keepLines w:val="0"/>
              <w:widowControl/>
              <w:suppressLineNumbers w:val="0"/>
              <w:jc w:val="left"/>
              <w:rPr>
                <w:rFonts w:ascii="Times New Roman" w:hAnsi="Times New Roman" w:eastAsia="宋体" w:cs="Times New Roman"/>
                <w:sz w:val="22"/>
                <w:szCs w:val="21"/>
                <w:lang w:val="en-US" w:eastAsia="en-US" w:bidi="ar-SA"/>
              </w:rPr>
            </w:pPr>
            <w:r>
              <w:rPr>
                <w:rFonts w:ascii="瀹嬩綋" w:hAnsi="瀹嬩綋" w:eastAsia="瀹嬩綋" w:cs="瀹嬩綋"/>
                <w:color w:val="000000"/>
                <w:kern w:val="0"/>
                <w:sz w:val="21"/>
                <w:szCs w:val="21"/>
                <w:lang w:val="en-US" w:eastAsia="zh-CN" w:bidi="ar"/>
              </w:rPr>
              <w:t>是否遗漏监测因子。</w:t>
            </w:r>
          </w:p>
        </w:tc>
      </w:tr>
      <w:tr w14:paraId="48F68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vAlign w:val="center"/>
          </w:tcPr>
          <w:p w14:paraId="5AB3CAD2">
            <w:pPr>
              <w:jc w:val="center"/>
              <w:rPr>
                <w:rFonts w:ascii="Times New Roman" w:hAnsi="Times New Roman" w:cs="Times New Roman"/>
                <w:kern w:val="0"/>
                <w:sz w:val="21"/>
                <w:szCs w:val="21"/>
              </w:rPr>
            </w:pPr>
          </w:p>
        </w:tc>
        <w:tc>
          <w:tcPr>
            <w:tcW w:w="4345" w:type="pct"/>
            <w:shd w:val="clear" w:color="auto" w:fill="auto"/>
            <w:vAlign w:val="center"/>
          </w:tcPr>
          <w:p w14:paraId="63F77B1F">
            <w:pPr>
              <w:keepNext w:val="0"/>
              <w:keepLines w:val="0"/>
              <w:widowControl/>
              <w:suppressLineNumbers w:val="0"/>
              <w:jc w:val="left"/>
              <w:rPr>
                <w:rFonts w:ascii="Times New Roman" w:hAnsi="Times New Roman" w:eastAsia="宋体" w:cs="Times New Roman"/>
                <w:sz w:val="22"/>
                <w:szCs w:val="21"/>
                <w:lang w:val="en-US" w:eastAsia="en-US" w:bidi="ar-SA"/>
              </w:rPr>
            </w:pPr>
            <w:r>
              <w:rPr>
                <w:rFonts w:ascii="瀹嬩綋" w:hAnsi="瀹嬩綋" w:eastAsia="瀹嬩綋" w:cs="瀹嬩綋"/>
                <w:color w:val="000000"/>
                <w:kern w:val="0"/>
                <w:sz w:val="21"/>
                <w:szCs w:val="21"/>
                <w:lang w:val="en-US" w:eastAsia="zh-CN" w:bidi="ar"/>
              </w:rPr>
              <w:t>质量标准与质量控制是否符合要求。</w:t>
            </w:r>
          </w:p>
        </w:tc>
      </w:tr>
      <w:tr w14:paraId="3522E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vAlign w:val="center"/>
          </w:tcPr>
          <w:p w14:paraId="1313C4DF">
            <w:pPr>
              <w:jc w:val="center"/>
              <w:rPr>
                <w:rFonts w:ascii="Times New Roman" w:hAnsi="Times New Roman" w:cs="Times New Roman"/>
                <w:kern w:val="0"/>
                <w:sz w:val="21"/>
                <w:szCs w:val="21"/>
              </w:rPr>
            </w:pPr>
          </w:p>
        </w:tc>
        <w:tc>
          <w:tcPr>
            <w:tcW w:w="4345" w:type="pct"/>
            <w:shd w:val="clear" w:color="auto" w:fill="auto"/>
            <w:vAlign w:val="center"/>
          </w:tcPr>
          <w:p w14:paraId="11A1C12A">
            <w:pPr>
              <w:keepNext w:val="0"/>
              <w:keepLines w:val="0"/>
              <w:widowControl/>
              <w:suppressLineNumbers w:val="0"/>
              <w:jc w:val="left"/>
              <w:rPr>
                <w:rFonts w:ascii="瀹嬩綋" w:hAnsi="瀹嬩綋" w:eastAsia="瀹嬩綋" w:cs="瀹嬩綋"/>
                <w:color w:val="000000"/>
                <w:kern w:val="0"/>
                <w:sz w:val="21"/>
                <w:szCs w:val="21"/>
                <w:lang w:val="en-US" w:eastAsia="zh-CN" w:bidi="ar"/>
              </w:rPr>
            </w:pPr>
            <w:r>
              <w:rPr>
                <w:rFonts w:ascii="瀹嬩綋" w:hAnsi="瀹嬩綋" w:eastAsia="瀹嬩綋" w:cs="瀹嬩綋"/>
                <w:color w:val="000000"/>
                <w:kern w:val="0"/>
                <w:sz w:val="21"/>
                <w:szCs w:val="21"/>
                <w:lang w:val="en-US" w:eastAsia="zh-CN" w:bidi="ar"/>
              </w:rPr>
              <w:t>监测频次是否满足要求。</w:t>
            </w:r>
          </w:p>
        </w:tc>
      </w:tr>
      <w:tr w14:paraId="210C9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vAlign w:val="center"/>
          </w:tcPr>
          <w:p w14:paraId="36059DE0">
            <w:pPr>
              <w:jc w:val="center"/>
              <w:rPr>
                <w:rFonts w:ascii="Times New Roman" w:hAnsi="Times New Roman" w:cs="Times New Roman"/>
                <w:kern w:val="0"/>
                <w:sz w:val="21"/>
                <w:szCs w:val="21"/>
              </w:rPr>
            </w:pPr>
          </w:p>
        </w:tc>
        <w:tc>
          <w:tcPr>
            <w:tcW w:w="4345" w:type="pct"/>
            <w:shd w:val="clear" w:color="auto" w:fill="auto"/>
            <w:vAlign w:val="center"/>
          </w:tcPr>
          <w:p w14:paraId="48F09747">
            <w:pPr>
              <w:keepNext w:val="0"/>
              <w:keepLines w:val="0"/>
              <w:widowControl/>
              <w:suppressLineNumbers w:val="0"/>
              <w:jc w:val="left"/>
              <w:rPr>
                <w:rFonts w:ascii="瀹嬩綋" w:hAnsi="瀹嬩綋" w:eastAsia="瀹嬩綋" w:cs="瀹嬩綋"/>
                <w:color w:val="000000"/>
                <w:kern w:val="0"/>
                <w:sz w:val="21"/>
                <w:szCs w:val="21"/>
                <w:lang w:val="en-US" w:eastAsia="zh-CN" w:bidi="ar"/>
              </w:rPr>
            </w:pPr>
            <w:r>
              <w:rPr>
                <w:rFonts w:ascii="瀹嬩綋" w:hAnsi="瀹嬩綋" w:eastAsia="瀹嬩綋" w:cs="瀹嬩綋"/>
                <w:color w:val="000000"/>
                <w:kern w:val="0"/>
                <w:sz w:val="21"/>
                <w:szCs w:val="21"/>
                <w:lang w:val="en-US" w:eastAsia="zh-CN" w:bidi="ar"/>
              </w:rPr>
              <w:t>监测方式、监测内容是否合规。</w:t>
            </w:r>
          </w:p>
        </w:tc>
      </w:tr>
      <w:tr w14:paraId="382AC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vAlign w:val="center"/>
          </w:tcPr>
          <w:p w14:paraId="0491172B">
            <w:pPr>
              <w:jc w:val="center"/>
              <w:rPr>
                <w:rFonts w:ascii="Times New Roman" w:hAnsi="Times New Roman" w:cs="Times New Roman"/>
                <w:kern w:val="0"/>
                <w:sz w:val="21"/>
                <w:szCs w:val="21"/>
              </w:rPr>
            </w:pPr>
          </w:p>
        </w:tc>
        <w:tc>
          <w:tcPr>
            <w:tcW w:w="4345" w:type="pct"/>
            <w:shd w:val="clear" w:color="auto" w:fill="auto"/>
            <w:vAlign w:val="center"/>
          </w:tcPr>
          <w:p w14:paraId="747D2933">
            <w:pPr>
              <w:keepNext w:val="0"/>
              <w:keepLines w:val="0"/>
              <w:widowControl/>
              <w:suppressLineNumbers w:val="0"/>
              <w:jc w:val="left"/>
              <w:rPr>
                <w:rFonts w:ascii="瀹嬩綋" w:hAnsi="瀹嬩綋" w:eastAsia="瀹嬩綋" w:cs="瀹嬩綋"/>
                <w:color w:val="000000"/>
                <w:kern w:val="0"/>
                <w:sz w:val="21"/>
                <w:szCs w:val="21"/>
                <w:lang w:val="en-US" w:eastAsia="zh-CN" w:bidi="ar"/>
              </w:rPr>
            </w:pPr>
            <w:r>
              <w:rPr>
                <w:rFonts w:ascii="瀹嬩綋" w:hAnsi="瀹嬩綋" w:eastAsia="瀹嬩綋" w:cs="瀹嬩綋"/>
                <w:color w:val="000000"/>
                <w:kern w:val="0"/>
                <w:sz w:val="21"/>
                <w:szCs w:val="21"/>
                <w:lang w:val="en-US" w:eastAsia="zh-CN" w:bidi="ar"/>
              </w:rPr>
              <w:t>是否依法安装污染物排放自动监测设施并联网。</w:t>
            </w:r>
          </w:p>
        </w:tc>
      </w:tr>
    </w:tbl>
    <w:p w14:paraId="50F75DBC">
      <w:pPr>
        <w:numPr>
          <w:ilvl w:val="0"/>
          <w:numId w:val="1"/>
        </w:numPr>
        <w:spacing w:before="240" w:after="240"/>
        <w:ind w:left="607"/>
        <w:rPr>
          <w:rFonts w:hint="eastAsia" w:ascii="Times New Roman" w:hAnsi="Times New Roman" w:cs="Times New Roman"/>
          <w:b/>
          <w:sz w:val="24"/>
          <w:szCs w:val="24"/>
          <w:lang w:val="en-US" w:eastAsia="zh-CN"/>
        </w:rPr>
      </w:pPr>
      <w:r>
        <w:rPr>
          <w:rFonts w:hint="eastAsia" w:ascii="Times New Roman" w:hAnsi="Times New Roman" w:cs="Times New Roman"/>
          <w:b/>
          <w:sz w:val="24"/>
          <w:szCs w:val="24"/>
          <w:lang w:val="en-US" w:eastAsia="zh-CN"/>
        </w:rPr>
        <w:t>调研结果</w:t>
      </w:r>
    </w:p>
    <w:p w14:paraId="7F768123">
      <w:pPr>
        <w:pStyle w:val="6"/>
        <w:keepNext w:val="0"/>
        <w:keepLines w:val="0"/>
        <w:pageBreakBefore w:val="0"/>
        <w:widowControl w:val="0"/>
        <w:kinsoku/>
        <w:wordWrap/>
        <w:overflowPunct/>
        <w:topLinePunct w:val="0"/>
        <w:autoSpaceDE w:val="0"/>
        <w:autoSpaceDN w:val="0"/>
        <w:bidi w:val="0"/>
        <w:adjustRightInd/>
        <w:snapToGrid/>
        <w:spacing w:line="360" w:lineRule="auto"/>
        <w:ind w:left="607" w:right="629" w:firstLine="482"/>
        <w:jc w:val="both"/>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通过本次</w:t>
      </w:r>
      <w:r>
        <w:rPr>
          <w:rFonts w:hint="eastAsia" w:ascii="Times New Roman" w:hAnsi="Times New Roman" w:cs="Times New Roman"/>
          <w:lang w:val="en-US" w:eastAsia="zh-CN"/>
        </w:rPr>
        <w:t>调研</w:t>
      </w:r>
      <w:r>
        <w:rPr>
          <w:rFonts w:hint="default" w:ascii="Times New Roman" w:hAnsi="Times New Roman" w:cs="Times New Roman"/>
          <w:lang w:val="en-US" w:eastAsia="zh-CN"/>
        </w:rPr>
        <w:t>，我们</w:t>
      </w:r>
      <w:r>
        <w:rPr>
          <w:rFonts w:hint="eastAsia" w:ascii="Times New Roman" w:hAnsi="Times New Roman" w:cs="Times New Roman"/>
          <w:lang w:val="en-US" w:eastAsia="zh-CN"/>
        </w:rPr>
        <w:t>看到了干散货</w:t>
      </w:r>
      <w:r>
        <w:rPr>
          <w:rFonts w:hint="default" w:ascii="Times New Roman" w:hAnsi="Times New Roman" w:cs="Times New Roman"/>
          <w:lang w:val="en-US" w:eastAsia="zh-CN"/>
        </w:rPr>
        <w:t>港口企业</w:t>
      </w:r>
      <w:r>
        <w:rPr>
          <w:rFonts w:hint="eastAsia" w:ascii="Times New Roman" w:hAnsi="Times New Roman" w:cs="Times New Roman"/>
          <w:lang w:val="en-US" w:eastAsia="zh-CN"/>
        </w:rPr>
        <w:t>在环保</w:t>
      </w:r>
      <w:r>
        <w:rPr>
          <w:rFonts w:hint="default" w:ascii="Times New Roman" w:hAnsi="Times New Roman" w:cs="Times New Roman"/>
          <w:lang w:val="en-US" w:eastAsia="zh-CN"/>
        </w:rPr>
        <w:t>工作中的</w:t>
      </w:r>
      <w:r>
        <w:rPr>
          <w:rFonts w:hint="eastAsia" w:ascii="Times New Roman" w:hAnsi="Times New Roman" w:cs="Times New Roman"/>
          <w:lang w:val="en-US" w:eastAsia="zh-CN"/>
        </w:rPr>
        <w:t>努力和</w:t>
      </w:r>
      <w:r>
        <w:rPr>
          <w:rFonts w:hint="default" w:ascii="Times New Roman" w:hAnsi="Times New Roman" w:cs="Times New Roman"/>
          <w:lang w:val="en-US" w:eastAsia="zh-CN"/>
        </w:rPr>
        <w:t>亮点，同时也发现了</w:t>
      </w:r>
      <w:r>
        <w:rPr>
          <w:rFonts w:hint="eastAsia" w:ascii="Times New Roman" w:hAnsi="Times New Roman" w:cs="Times New Roman"/>
          <w:lang w:val="en-US" w:eastAsia="zh-CN"/>
        </w:rPr>
        <w:t>干散货港口</w:t>
      </w:r>
      <w:r>
        <w:rPr>
          <w:rFonts w:hint="default" w:ascii="Times New Roman" w:hAnsi="Times New Roman" w:cs="Times New Roman"/>
          <w:lang w:val="en-US" w:eastAsia="zh-CN"/>
        </w:rPr>
        <w:t>企业</w:t>
      </w:r>
      <w:r>
        <w:rPr>
          <w:rFonts w:hint="eastAsia" w:ascii="Times New Roman" w:hAnsi="Times New Roman" w:cs="Times New Roman"/>
          <w:lang w:val="en-US" w:eastAsia="zh-CN"/>
        </w:rPr>
        <w:t>在颗粒物污染管控</w:t>
      </w:r>
      <w:r>
        <w:rPr>
          <w:rFonts w:hint="default" w:ascii="Times New Roman" w:hAnsi="Times New Roman" w:cs="Times New Roman"/>
          <w:lang w:val="en-US" w:eastAsia="zh-CN"/>
        </w:rPr>
        <w:t>方面</w:t>
      </w:r>
      <w:r>
        <w:rPr>
          <w:rFonts w:hint="eastAsia" w:ascii="Times New Roman" w:hAnsi="Times New Roman" w:cs="Times New Roman"/>
          <w:lang w:val="en-US" w:eastAsia="zh-CN"/>
        </w:rPr>
        <w:t>普遍存在的问题及管理漏洞</w:t>
      </w:r>
      <w:r>
        <w:rPr>
          <w:rFonts w:hint="default" w:ascii="Times New Roman" w:hAnsi="Times New Roman" w:cs="Times New Roman"/>
          <w:lang w:val="en-US" w:eastAsia="zh-CN"/>
        </w:rPr>
        <w:t>。</w:t>
      </w:r>
      <w:r>
        <w:rPr>
          <w:rFonts w:hint="eastAsia" w:ascii="Times New Roman" w:hAnsi="Times New Roman" w:cs="Times New Roman"/>
          <w:lang w:val="en-US" w:eastAsia="zh-CN"/>
        </w:rPr>
        <w:t>现场踏勘拍摄的污染防控措施配套情况，如图4-1所示。</w:t>
      </w:r>
    </w:p>
    <w:tbl>
      <w:tblPr>
        <w:tblStyle w:val="15"/>
        <w:tblW w:w="0" w:type="auto"/>
        <w:tblInd w:w="374"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25"/>
        <w:gridCol w:w="4489"/>
      </w:tblGrid>
      <w:tr w14:paraId="17DC78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25" w:type="dxa"/>
            <w:tcBorders>
              <w:tl2br w:val="nil"/>
              <w:tr2bl w:val="nil"/>
            </w:tcBorders>
            <w:vAlign w:val="top"/>
          </w:tcPr>
          <w:p w14:paraId="1E665F7C">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hint="default" w:ascii="Times New Roman" w:hAnsi="Times New Roman" w:cs="Times New Roman"/>
                <w:vertAlign w:val="baseline"/>
                <w:lang w:val="en-US" w:eastAsia="zh-CN"/>
              </w:rPr>
            </w:pPr>
            <w:r>
              <w:rPr>
                <w:rFonts w:ascii="Calibri" w:hAnsi="Calibri" w:eastAsia="仿宋"/>
                <w:color w:val="000000"/>
                <w:sz w:val="21"/>
                <w:szCs w:val="21"/>
              </w:rPr>
              <w:drawing>
                <wp:inline distT="0" distB="0" distL="0" distR="0">
                  <wp:extent cx="2879725" cy="1800225"/>
                  <wp:effectExtent l="0" t="0" r="15875" b="9525"/>
                  <wp:docPr id="14" name="图片 14" descr="d:\Users\jihl\Documents\WeChat Files\wxid_5828308281711\FileStorage\Temp\1713774572932.png"/>
                  <wp:cNvGraphicFramePr/>
                  <a:graphic xmlns:a="http://schemas.openxmlformats.org/drawingml/2006/main">
                    <a:graphicData uri="http://schemas.openxmlformats.org/drawingml/2006/picture">
                      <pic:pic xmlns:pic="http://schemas.openxmlformats.org/drawingml/2006/picture">
                        <pic:nvPicPr>
                          <pic:cNvPr id="14" name="图片 14" descr="d:\Users\jihl\Documents\WeChat Files\wxid_5828308281711\FileStorage\Temp\1713774572932.png"/>
                          <pic:cNvPicPr>
                            <a:picLocks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2879725" cy="1800225"/>
                          </a:xfrm>
                          <a:prstGeom prst="rect">
                            <a:avLst/>
                          </a:prstGeom>
                          <a:noFill/>
                          <a:ln>
                            <a:noFill/>
                          </a:ln>
                        </pic:spPr>
                      </pic:pic>
                    </a:graphicData>
                  </a:graphic>
                </wp:inline>
              </w:drawing>
            </w:r>
          </w:p>
        </w:tc>
        <w:tc>
          <w:tcPr>
            <w:tcW w:w="4489" w:type="dxa"/>
            <w:tcBorders>
              <w:tl2br w:val="nil"/>
              <w:tr2bl w:val="nil"/>
            </w:tcBorders>
            <w:vAlign w:val="top"/>
          </w:tcPr>
          <w:p w14:paraId="7B423B5A">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hint="default" w:ascii="Times New Roman" w:hAnsi="Times New Roman" w:cs="Times New Roman"/>
                <w:vertAlign w:val="baseline"/>
                <w:lang w:val="en-US" w:eastAsia="zh-CN"/>
              </w:rPr>
            </w:pPr>
            <w:r>
              <w:rPr>
                <w:rFonts w:ascii="Calibri" w:hAnsi="Calibri" w:eastAsia="仿宋"/>
                <w:color w:val="000000"/>
                <w:sz w:val="21"/>
                <w:szCs w:val="21"/>
              </w:rPr>
              <w:drawing>
                <wp:inline distT="0" distB="0" distL="0" distR="0">
                  <wp:extent cx="2879725" cy="1800225"/>
                  <wp:effectExtent l="0" t="0" r="15875" b="9525"/>
                  <wp:docPr id="80" name="图片 80" descr="d:\Users\jihl\Documents\WeChat Files\wxid_5828308281711\FileStorage\Temp\da34cf7082cd23670d098b7344dc14b.jpg"/>
                  <wp:cNvGraphicFramePr/>
                  <a:graphic xmlns:a="http://schemas.openxmlformats.org/drawingml/2006/main">
                    <a:graphicData uri="http://schemas.openxmlformats.org/drawingml/2006/picture">
                      <pic:pic xmlns:pic="http://schemas.openxmlformats.org/drawingml/2006/picture">
                        <pic:nvPicPr>
                          <pic:cNvPr id="80" name="图片 80" descr="d:\Users\jihl\Documents\WeChat Files\wxid_5828308281711\FileStorage\Temp\da34cf7082cd23670d098b7344dc14b.jpg"/>
                          <pic:cNvPicPr>
                            <a:picLocks noChangeArrowheads="1"/>
                          </pic:cNvPicPr>
                        </pic:nvPicPr>
                        <pic:blipFill>
                          <a:blip r:embed="rId22" cstate="print">
                            <a:extLst>
                              <a:ext uri="{28A0092B-C50C-407E-A947-70E740481C1C}">
                                <a14:useLocalDpi xmlns:a14="http://schemas.microsoft.com/office/drawing/2010/main" val="0"/>
                              </a:ext>
                            </a:extLst>
                          </a:blip>
                          <a:srcRect l="15677"/>
                          <a:stretch>
                            <a:fillRect/>
                          </a:stretch>
                        </pic:blipFill>
                        <pic:spPr>
                          <a:xfrm>
                            <a:off x="0" y="0"/>
                            <a:ext cx="2879725" cy="1800225"/>
                          </a:xfrm>
                          <a:prstGeom prst="rect">
                            <a:avLst/>
                          </a:prstGeom>
                          <a:noFill/>
                          <a:ln>
                            <a:noFill/>
                          </a:ln>
                        </pic:spPr>
                      </pic:pic>
                    </a:graphicData>
                  </a:graphic>
                </wp:inline>
              </w:drawing>
            </w:r>
          </w:p>
        </w:tc>
      </w:tr>
      <w:tr w14:paraId="2B8A22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4325" w:type="dxa"/>
            <w:tcBorders>
              <w:tl2br w:val="nil"/>
              <w:tr2bl w:val="nil"/>
            </w:tcBorders>
            <w:vAlign w:val="top"/>
          </w:tcPr>
          <w:p w14:paraId="0068D461">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hint="default" w:ascii="Times New Roman" w:hAnsi="Times New Roman" w:cs="Times New Roman"/>
                <w:vertAlign w:val="baseline"/>
                <w:lang w:val="en-US" w:eastAsia="zh-CN"/>
              </w:rPr>
            </w:pPr>
            <w:r>
              <w:rPr>
                <w:rFonts w:ascii="等线" w:hAnsi="等线" w:eastAsia="等线"/>
                <w:color w:val="000000"/>
                <w:sz w:val="21"/>
                <w:szCs w:val="22"/>
              </w:rPr>
              <w:drawing>
                <wp:inline distT="0" distB="0" distL="114300" distR="114300">
                  <wp:extent cx="2879725" cy="1800225"/>
                  <wp:effectExtent l="0" t="0" r="15875" b="9525"/>
                  <wp:docPr id="17" name="图片 9" descr="D:\微信文件\WeChat Files\wxid_pdfajdmf1qgw11\FileStorage\Temp\1678326410711.png"/>
                  <wp:cNvGraphicFramePr/>
                  <a:graphic xmlns:a="http://schemas.openxmlformats.org/drawingml/2006/main">
                    <a:graphicData uri="http://schemas.openxmlformats.org/drawingml/2006/picture">
                      <pic:pic xmlns:pic="http://schemas.openxmlformats.org/drawingml/2006/picture">
                        <pic:nvPicPr>
                          <pic:cNvPr id="17" name="图片 9" descr="D:\微信文件\WeChat Files\wxid_pdfajdmf1qgw11\FileStorage\Temp\1678326410711.png"/>
                          <pic:cNvPicPr/>
                        </pic:nvPicPr>
                        <pic:blipFill>
                          <a:blip r:embed="rId23"/>
                          <a:stretch>
                            <a:fillRect/>
                          </a:stretch>
                        </pic:blipFill>
                        <pic:spPr>
                          <a:xfrm>
                            <a:off x="0" y="0"/>
                            <a:ext cx="2879725" cy="1800225"/>
                          </a:xfrm>
                          <a:prstGeom prst="rect">
                            <a:avLst/>
                          </a:prstGeom>
                          <a:noFill/>
                          <a:ln>
                            <a:noFill/>
                          </a:ln>
                        </pic:spPr>
                      </pic:pic>
                    </a:graphicData>
                  </a:graphic>
                </wp:inline>
              </w:drawing>
            </w:r>
          </w:p>
        </w:tc>
        <w:tc>
          <w:tcPr>
            <w:tcW w:w="4489" w:type="dxa"/>
            <w:tcBorders>
              <w:tl2br w:val="nil"/>
              <w:tr2bl w:val="nil"/>
            </w:tcBorders>
            <w:vAlign w:val="top"/>
          </w:tcPr>
          <w:p w14:paraId="180F9B5A">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hint="default" w:ascii="Times New Roman" w:hAnsi="Times New Roman" w:cs="Times New Roman"/>
                <w:vertAlign w:val="baseline"/>
                <w:lang w:val="en-US" w:eastAsia="zh-CN"/>
              </w:rPr>
            </w:pPr>
            <w:r>
              <w:rPr>
                <w:rFonts w:ascii="仿宋" w:hAnsi="仿宋" w:eastAsia="仿宋"/>
                <w:color w:val="000000"/>
                <w:sz w:val="21"/>
                <w:szCs w:val="21"/>
              </w:rPr>
              <w:drawing>
                <wp:inline distT="0" distB="0" distL="114300" distR="114300">
                  <wp:extent cx="2879725" cy="1800225"/>
                  <wp:effectExtent l="0" t="0" r="15875" b="9525"/>
                  <wp:docPr id="22" name="图片 13" descr="D:\微信文件\WeChat Files\wxid_pdfajdmf1qgw11\FileStorage\Temp\1678259815412.png"/>
                  <wp:cNvGraphicFramePr/>
                  <a:graphic xmlns:a="http://schemas.openxmlformats.org/drawingml/2006/main">
                    <a:graphicData uri="http://schemas.openxmlformats.org/drawingml/2006/picture">
                      <pic:pic xmlns:pic="http://schemas.openxmlformats.org/drawingml/2006/picture">
                        <pic:nvPicPr>
                          <pic:cNvPr id="22" name="图片 13" descr="D:\微信文件\WeChat Files\wxid_pdfajdmf1qgw11\FileStorage\Temp\1678259815412.png"/>
                          <pic:cNvPicPr/>
                        </pic:nvPicPr>
                        <pic:blipFill>
                          <a:blip r:embed="rId24"/>
                          <a:stretch>
                            <a:fillRect/>
                          </a:stretch>
                        </pic:blipFill>
                        <pic:spPr>
                          <a:xfrm>
                            <a:off x="0" y="0"/>
                            <a:ext cx="2879725" cy="1800225"/>
                          </a:xfrm>
                          <a:prstGeom prst="rect">
                            <a:avLst/>
                          </a:prstGeom>
                          <a:noFill/>
                          <a:ln>
                            <a:noFill/>
                          </a:ln>
                        </pic:spPr>
                      </pic:pic>
                    </a:graphicData>
                  </a:graphic>
                </wp:inline>
              </w:drawing>
            </w:r>
          </w:p>
        </w:tc>
      </w:tr>
      <w:tr w14:paraId="0E1FB6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25" w:type="dxa"/>
            <w:tcBorders>
              <w:tl2br w:val="nil"/>
              <w:tr2bl w:val="nil"/>
            </w:tcBorders>
            <w:vAlign w:val="top"/>
          </w:tcPr>
          <w:p w14:paraId="51FCA9BA">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hint="default" w:ascii="Times New Roman" w:hAnsi="Times New Roman" w:cs="Times New Roman"/>
                <w:vertAlign w:val="baseline"/>
                <w:lang w:val="en-US" w:eastAsia="zh-CN"/>
              </w:rPr>
            </w:pPr>
            <w:r>
              <w:rPr>
                <w:rFonts w:ascii="仿宋" w:hAnsi="仿宋" w:eastAsia="仿宋"/>
                <w:color w:val="000000"/>
                <w:sz w:val="21"/>
                <w:szCs w:val="21"/>
              </w:rPr>
              <w:drawing>
                <wp:inline distT="0" distB="0" distL="114300" distR="114300">
                  <wp:extent cx="2879725" cy="1800225"/>
                  <wp:effectExtent l="0" t="0" r="15875" b="9525"/>
                  <wp:docPr id="26" name="图片 17" descr="蓝色的卡车&#10;&#10;中度可信度描述已自动生成"/>
                  <wp:cNvGraphicFramePr/>
                  <a:graphic xmlns:a="http://schemas.openxmlformats.org/drawingml/2006/main">
                    <a:graphicData uri="http://schemas.openxmlformats.org/drawingml/2006/picture">
                      <pic:pic xmlns:pic="http://schemas.openxmlformats.org/drawingml/2006/picture">
                        <pic:nvPicPr>
                          <pic:cNvPr id="26" name="图片 17" descr="蓝色的卡车&#10;&#10;中度可信度描述已自动生成"/>
                          <pic:cNvPicPr/>
                        </pic:nvPicPr>
                        <pic:blipFill>
                          <a:blip r:embed="rId25"/>
                          <a:stretch>
                            <a:fillRect/>
                          </a:stretch>
                        </pic:blipFill>
                        <pic:spPr>
                          <a:xfrm>
                            <a:off x="0" y="0"/>
                            <a:ext cx="2879725" cy="1800225"/>
                          </a:xfrm>
                          <a:prstGeom prst="rect">
                            <a:avLst/>
                          </a:prstGeom>
                          <a:noFill/>
                          <a:ln>
                            <a:noFill/>
                          </a:ln>
                        </pic:spPr>
                      </pic:pic>
                    </a:graphicData>
                  </a:graphic>
                </wp:inline>
              </w:drawing>
            </w:r>
          </w:p>
        </w:tc>
        <w:tc>
          <w:tcPr>
            <w:tcW w:w="4489" w:type="dxa"/>
            <w:tcBorders>
              <w:tl2br w:val="nil"/>
              <w:tr2bl w:val="nil"/>
            </w:tcBorders>
            <w:vAlign w:val="top"/>
          </w:tcPr>
          <w:p w14:paraId="26990F0E">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hint="default" w:ascii="Times New Roman" w:hAnsi="Times New Roman" w:cs="Times New Roman"/>
                <w:vertAlign w:val="baseline"/>
                <w:lang w:val="en-US" w:eastAsia="zh-CN"/>
              </w:rPr>
            </w:pPr>
            <w:r>
              <w:rPr>
                <w:rFonts w:eastAsia="仿宋"/>
                <w:color w:val="000000"/>
                <w:sz w:val="21"/>
                <w:szCs w:val="21"/>
              </w:rPr>
              <w:drawing>
                <wp:inline distT="0" distB="0" distL="114300" distR="114300">
                  <wp:extent cx="2879725" cy="1800225"/>
                  <wp:effectExtent l="0" t="0" r="15875" b="9525"/>
                  <wp:docPr id="41" name="图片 32"/>
                  <wp:cNvGraphicFramePr/>
                  <a:graphic xmlns:a="http://schemas.openxmlformats.org/drawingml/2006/main">
                    <a:graphicData uri="http://schemas.openxmlformats.org/drawingml/2006/picture">
                      <pic:pic xmlns:pic="http://schemas.openxmlformats.org/drawingml/2006/picture">
                        <pic:nvPicPr>
                          <pic:cNvPr id="41" name="图片 32"/>
                          <pic:cNvPicPr/>
                        </pic:nvPicPr>
                        <pic:blipFill>
                          <a:blip r:embed="rId26"/>
                          <a:stretch>
                            <a:fillRect/>
                          </a:stretch>
                        </pic:blipFill>
                        <pic:spPr>
                          <a:xfrm>
                            <a:off x="0" y="0"/>
                            <a:ext cx="2879725" cy="1800225"/>
                          </a:xfrm>
                          <a:prstGeom prst="rect">
                            <a:avLst/>
                          </a:prstGeom>
                          <a:noFill/>
                          <a:ln>
                            <a:noFill/>
                          </a:ln>
                        </pic:spPr>
                      </pic:pic>
                    </a:graphicData>
                  </a:graphic>
                </wp:inline>
              </w:drawing>
            </w:r>
          </w:p>
        </w:tc>
      </w:tr>
      <w:tr w14:paraId="1DD7EA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25" w:type="dxa"/>
            <w:tcBorders>
              <w:tl2br w:val="nil"/>
              <w:tr2bl w:val="nil"/>
            </w:tcBorders>
            <w:vAlign w:val="top"/>
          </w:tcPr>
          <w:p w14:paraId="14898698">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hint="default" w:ascii="Times New Roman" w:hAnsi="Times New Roman" w:cs="Times New Roman"/>
                <w:vertAlign w:val="baseline"/>
                <w:lang w:val="en-US" w:eastAsia="zh-CN"/>
              </w:rPr>
            </w:pPr>
            <w:r>
              <w:rPr>
                <w:rFonts w:ascii="Calibri" w:hAnsi="Calibri" w:eastAsia="仿宋"/>
                <w:color w:val="000000"/>
                <w:sz w:val="21"/>
                <w:szCs w:val="21"/>
              </w:rPr>
              <w:drawing>
                <wp:inline distT="0" distB="0" distL="0" distR="0">
                  <wp:extent cx="2879725" cy="1800225"/>
                  <wp:effectExtent l="0" t="0" r="15875" b="9525"/>
                  <wp:docPr id="78" name="图片 78" descr="d:\Users\jihl\Documents\WeChat Files\wxid_5828308281711\FileStorage\Temp\abe4b762cffb1a9e9ed03f75659362b.jpg"/>
                  <wp:cNvGraphicFramePr/>
                  <a:graphic xmlns:a="http://schemas.openxmlformats.org/drawingml/2006/main">
                    <a:graphicData uri="http://schemas.openxmlformats.org/drawingml/2006/picture">
                      <pic:pic xmlns:pic="http://schemas.openxmlformats.org/drawingml/2006/picture">
                        <pic:nvPicPr>
                          <pic:cNvPr id="78" name="图片 78" descr="d:\Users\jihl\Documents\WeChat Files\wxid_5828308281711\FileStorage\Temp\abe4b762cffb1a9e9ed03f75659362b.jpg"/>
                          <pic:cNvPicPr>
                            <a:picLocks noChangeArrowheads="1"/>
                          </pic:cNvPicPr>
                        </pic:nvPicPr>
                        <pic:blipFill>
                          <a:blip r:embed="rId27" cstate="print">
                            <a:extLst>
                              <a:ext uri="{28A0092B-C50C-407E-A947-70E740481C1C}">
                                <a14:useLocalDpi xmlns:a14="http://schemas.microsoft.com/office/drawing/2010/main" val="0"/>
                              </a:ext>
                            </a:extLst>
                          </a:blip>
                          <a:srcRect l="11842"/>
                          <a:stretch>
                            <a:fillRect/>
                          </a:stretch>
                        </pic:blipFill>
                        <pic:spPr>
                          <a:xfrm>
                            <a:off x="0" y="0"/>
                            <a:ext cx="2879725" cy="1800225"/>
                          </a:xfrm>
                          <a:prstGeom prst="rect">
                            <a:avLst/>
                          </a:prstGeom>
                          <a:noFill/>
                          <a:ln>
                            <a:noFill/>
                          </a:ln>
                        </pic:spPr>
                      </pic:pic>
                    </a:graphicData>
                  </a:graphic>
                </wp:inline>
              </w:drawing>
            </w:r>
          </w:p>
        </w:tc>
        <w:tc>
          <w:tcPr>
            <w:tcW w:w="4489" w:type="dxa"/>
            <w:tcBorders>
              <w:tl2br w:val="nil"/>
              <w:tr2bl w:val="nil"/>
            </w:tcBorders>
            <w:vAlign w:val="top"/>
          </w:tcPr>
          <w:p w14:paraId="0F3B1DE0">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hint="default" w:ascii="Times New Roman" w:hAnsi="Times New Roman" w:cs="Times New Roman"/>
                <w:vertAlign w:val="baseline"/>
                <w:lang w:val="en-US" w:eastAsia="zh-CN"/>
              </w:rPr>
            </w:pPr>
            <w:r>
              <w:rPr>
                <w:rFonts w:ascii="仿宋" w:hAnsi="仿宋" w:eastAsia="仿宋"/>
                <w:color w:val="000000"/>
                <w:sz w:val="21"/>
                <w:szCs w:val="21"/>
              </w:rPr>
              <w:drawing>
                <wp:inline distT="0" distB="0" distL="114300" distR="114300">
                  <wp:extent cx="2879725" cy="1800225"/>
                  <wp:effectExtent l="0" t="0" r="15875" b="9525"/>
                  <wp:docPr id="31" name="图片 22"/>
                  <wp:cNvGraphicFramePr/>
                  <a:graphic xmlns:a="http://schemas.openxmlformats.org/drawingml/2006/main">
                    <a:graphicData uri="http://schemas.openxmlformats.org/drawingml/2006/picture">
                      <pic:pic xmlns:pic="http://schemas.openxmlformats.org/drawingml/2006/picture">
                        <pic:nvPicPr>
                          <pic:cNvPr id="31" name="图片 22"/>
                          <pic:cNvPicPr/>
                        </pic:nvPicPr>
                        <pic:blipFill>
                          <a:blip r:embed="rId28"/>
                          <a:stretch>
                            <a:fillRect/>
                          </a:stretch>
                        </pic:blipFill>
                        <pic:spPr>
                          <a:xfrm>
                            <a:off x="0" y="0"/>
                            <a:ext cx="2879725" cy="1800225"/>
                          </a:xfrm>
                          <a:prstGeom prst="rect">
                            <a:avLst/>
                          </a:prstGeom>
                          <a:noFill/>
                          <a:ln>
                            <a:noFill/>
                          </a:ln>
                        </pic:spPr>
                      </pic:pic>
                    </a:graphicData>
                  </a:graphic>
                </wp:inline>
              </w:drawing>
            </w:r>
          </w:p>
        </w:tc>
      </w:tr>
      <w:tr w14:paraId="3E4F93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73" w:hRule="atLeast"/>
        </w:trPr>
        <w:tc>
          <w:tcPr>
            <w:tcW w:w="4325" w:type="dxa"/>
            <w:tcBorders>
              <w:tl2br w:val="nil"/>
              <w:tr2bl w:val="nil"/>
            </w:tcBorders>
            <w:vAlign w:val="top"/>
          </w:tcPr>
          <w:p w14:paraId="30085607">
            <w:pPr>
              <w:pStyle w:val="6"/>
              <w:keepNext w:val="0"/>
              <w:keepLines w:val="0"/>
              <w:pageBreakBefore w:val="0"/>
              <w:widowControl w:val="0"/>
              <w:kinsoku/>
              <w:wordWrap/>
              <w:overflowPunct/>
              <w:topLinePunct w:val="0"/>
              <w:autoSpaceDE w:val="0"/>
              <w:autoSpaceDN w:val="0"/>
              <w:bidi w:val="0"/>
              <w:adjustRightInd/>
              <w:snapToGrid/>
              <w:spacing w:line="360" w:lineRule="auto"/>
              <w:ind w:right="0"/>
              <w:jc w:val="both"/>
              <w:textAlignment w:val="auto"/>
              <w:rPr>
                <w:rFonts w:eastAsia="仿宋"/>
                <w:sz w:val="21"/>
                <w:szCs w:val="21"/>
              </w:rPr>
            </w:pPr>
            <w:r>
              <w:rPr>
                <w:rFonts w:ascii="仿宋" w:hAnsi="仿宋" w:eastAsia="仿宋"/>
                <w:color w:val="000000"/>
                <w:sz w:val="21"/>
                <w:szCs w:val="21"/>
              </w:rPr>
              <w:drawing>
                <wp:inline distT="0" distB="0" distL="114300" distR="114300">
                  <wp:extent cx="2879725" cy="1800225"/>
                  <wp:effectExtent l="0" t="0" r="15875" b="9525"/>
                  <wp:docPr id="20" name="图片 12" descr="D:\微信文件\WeChat Files\wxid_pdfajdmf1qgw11\FileStorage\Temp\1678259885209.png"/>
                  <wp:cNvGraphicFramePr/>
                  <a:graphic xmlns:a="http://schemas.openxmlformats.org/drawingml/2006/main">
                    <a:graphicData uri="http://schemas.openxmlformats.org/drawingml/2006/picture">
                      <pic:pic xmlns:pic="http://schemas.openxmlformats.org/drawingml/2006/picture">
                        <pic:nvPicPr>
                          <pic:cNvPr id="20" name="图片 12" descr="D:\微信文件\WeChat Files\wxid_pdfajdmf1qgw11\FileStorage\Temp\1678259885209.png"/>
                          <pic:cNvPicPr/>
                        </pic:nvPicPr>
                        <pic:blipFill>
                          <a:blip r:embed="rId29"/>
                          <a:stretch>
                            <a:fillRect/>
                          </a:stretch>
                        </pic:blipFill>
                        <pic:spPr>
                          <a:xfrm>
                            <a:off x="0" y="0"/>
                            <a:ext cx="2879725" cy="1800225"/>
                          </a:xfrm>
                          <a:prstGeom prst="rect">
                            <a:avLst/>
                          </a:prstGeom>
                          <a:noFill/>
                          <a:ln>
                            <a:noFill/>
                          </a:ln>
                        </pic:spPr>
                      </pic:pic>
                    </a:graphicData>
                  </a:graphic>
                </wp:inline>
              </w:drawing>
            </w:r>
          </w:p>
        </w:tc>
        <w:tc>
          <w:tcPr>
            <w:tcW w:w="4489" w:type="dxa"/>
            <w:tcBorders>
              <w:tl2br w:val="nil"/>
              <w:tr2bl w:val="nil"/>
            </w:tcBorders>
            <w:vAlign w:val="top"/>
          </w:tcPr>
          <w:p w14:paraId="2EDD7436">
            <w:pPr>
              <w:pStyle w:val="6"/>
              <w:keepNext w:val="0"/>
              <w:keepLines w:val="0"/>
              <w:pageBreakBefore w:val="0"/>
              <w:widowControl w:val="0"/>
              <w:kinsoku/>
              <w:wordWrap/>
              <w:overflowPunct/>
              <w:topLinePunct w:val="0"/>
              <w:autoSpaceDE w:val="0"/>
              <w:autoSpaceDN w:val="0"/>
              <w:bidi w:val="0"/>
              <w:adjustRightInd/>
              <w:snapToGrid/>
              <w:spacing w:line="360" w:lineRule="auto"/>
              <w:ind w:right="0"/>
              <w:jc w:val="both"/>
              <w:textAlignment w:val="auto"/>
            </w:pPr>
            <w:r>
              <w:drawing>
                <wp:inline distT="0" distB="0" distL="114300" distR="114300">
                  <wp:extent cx="2879725" cy="1800225"/>
                  <wp:effectExtent l="0" t="0" r="15875" b="9525"/>
                  <wp:docPr id="30" name="图片 21"/>
                  <wp:cNvGraphicFramePr/>
                  <a:graphic xmlns:a="http://schemas.openxmlformats.org/drawingml/2006/main">
                    <a:graphicData uri="http://schemas.openxmlformats.org/drawingml/2006/picture">
                      <pic:pic xmlns:pic="http://schemas.openxmlformats.org/drawingml/2006/picture">
                        <pic:nvPicPr>
                          <pic:cNvPr id="30" name="图片 21"/>
                          <pic:cNvPicPr/>
                        </pic:nvPicPr>
                        <pic:blipFill>
                          <a:blip r:embed="rId30"/>
                          <a:stretch>
                            <a:fillRect/>
                          </a:stretch>
                        </pic:blipFill>
                        <pic:spPr>
                          <a:xfrm>
                            <a:off x="0" y="0"/>
                            <a:ext cx="2879725" cy="1800225"/>
                          </a:xfrm>
                          <a:prstGeom prst="rect">
                            <a:avLst/>
                          </a:prstGeom>
                          <a:noFill/>
                          <a:ln>
                            <a:noFill/>
                          </a:ln>
                        </pic:spPr>
                      </pic:pic>
                    </a:graphicData>
                  </a:graphic>
                </wp:inline>
              </w:drawing>
            </w:r>
          </w:p>
        </w:tc>
      </w:tr>
      <w:tr w14:paraId="00AEAC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7" w:hRule="atLeast"/>
        </w:trPr>
        <w:tc>
          <w:tcPr>
            <w:tcW w:w="4325" w:type="dxa"/>
            <w:tcBorders>
              <w:tl2br w:val="nil"/>
              <w:tr2bl w:val="nil"/>
            </w:tcBorders>
            <w:vAlign w:val="top"/>
          </w:tcPr>
          <w:p w14:paraId="5D472785">
            <w:pPr>
              <w:pStyle w:val="6"/>
              <w:keepNext w:val="0"/>
              <w:keepLines w:val="0"/>
              <w:pageBreakBefore w:val="0"/>
              <w:widowControl w:val="0"/>
              <w:kinsoku/>
              <w:wordWrap/>
              <w:overflowPunct/>
              <w:topLinePunct w:val="0"/>
              <w:autoSpaceDE w:val="0"/>
              <w:autoSpaceDN w:val="0"/>
              <w:bidi w:val="0"/>
              <w:adjustRightInd/>
              <w:snapToGrid/>
              <w:spacing w:line="360" w:lineRule="auto"/>
              <w:ind w:right="0"/>
              <w:jc w:val="both"/>
              <w:textAlignment w:val="auto"/>
              <w:rPr>
                <w:rFonts w:ascii="仿宋" w:hAnsi="仿宋" w:eastAsia="仿宋"/>
                <w:color w:val="000000"/>
                <w:sz w:val="21"/>
                <w:szCs w:val="21"/>
              </w:rPr>
            </w:pPr>
            <w:r>
              <w:rPr>
                <w:rFonts w:ascii="仿宋" w:hAnsi="仿宋" w:eastAsia="仿宋"/>
                <w:color w:val="000000"/>
                <w:sz w:val="21"/>
                <w:szCs w:val="21"/>
              </w:rPr>
              <w:drawing>
                <wp:inline distT="0" distB="0" distL="114300" distR="114300">
                  <wp:extent cx="2879725" cy="1800225"/>
                  <wp:effectExtent l="0" t="0" r="15875" b="9525"/>
                  <wp:docPr id="23" name="图片 14" descr="1681292414308"/>
                  <wp:cNvGraphicFramePr/>
                  <a:graphic xmlns:a="http://schemas.openxmlformats.org/drawingml/2006/main">
                    <a:graphicData uri="http://schemas.openxmlformats.org/drawingml/2006/picture">
                      <pic:pic xmlns:pic="http://schemas.openxmlformats.org/drawingml/2006/picture">
                        <pic:nvPicPr>
                          <pic:cNvPr id="23" name="图片 14" descr="1681292414308"/>
                          <pic:cNvPicPr/>
                        </pic:nvPicPr>
                        <pic:blipFill>
                          <a:blip r:embed="rId31"/>
                          <a:stretch>
                            <a:fillRect/>
                          </a:stretch>
                        </pic:blipFill>
                        <pic:spPr>
                          <a:xfrm>
                            <a:off x="0" y="0"/>
                            <a:ext cx="2879725" cy="1800225"/>
                          </a:xfrm>
                          <a:prstGeom prst="rect">
                            <a:avLst/>
                          </a:prstGeom>
                          <a:noFill/>
                          <a:ln>
                            <a:noFill/>
                          </a:ln>
                        </pic:spPr>
                      </pic:pic>
                    </a:graphicData>
                  </a:graphic>
                </wp:inline>
              </w:drawing>
            </w:r>
          </w:p>
        </w:tc>
        <w:tc>
          <w:tcPr>
            <w:tcW w:w="4489" w:type="dxa"/>
            <w:tcBorders>
              <w:tl2br w:val="nil"/>
              <w:tr2bl w:val="nil"/>
            </w:tcBorders>
            <w:vAlign w:val="top"/>
          </w:tcPr>
          <w:p w14:paraId="1444135A">
            <w:pPr>
              <w:pStyle w:val="6"/>
              <w:keepNext w:val="0"/>
              <w:keepLines w:val="0"/>
              <w:pageBreakBefore w:val="0"/>
              <w:widowControl w:val="0"/>
              <w:kinsoku/>
              <w:wordWrap/>
              <w:overflowPunct/>
              <w:topLinePunct w:val="0"/>
              <w:autoSpaceDE w:val="0"/>
              <w:autoSpaceDN w:val="0"/>
              <w:bidi w:val="0"/>
              <w:adjustRightInd/>
              <w:snapToGrid/>
              <w:spacing w:line="360" w:lineRule="auto"/>
              <w:ind w:right="0"/>
              <w:jc w:val="both"/>
              <w:textAlignment w:val="auto"/>
            </w:pPr>
            <w:r>
              <w:rPr>
                <w:rFonts w:eastAsia="仿宋"/>
                <w:color w:val="000000"/>
                <w:sz w:val="21"/>
                <w:szCs w:val="21"/>
              </w:rPr>
              <w:drawing>
                <wp:inline distT="0" distB="0" distL="114300" distR="114300">
                  <wp:extent cx="2879725" cy="1800225"/>
                  <wp:effectExtent l="0" t="0" r="15875" b="9525"/>
                  <wp:docPr id="11" name="图片 6" descr="1678518236699"/>
                  <wp:cNvGraphicFramePr/>
                  <a:graphic xmlns:a="http://schemas.openxmlformats.org/drawingml/2006/main">
                    <a:graphicData uri="http://schemas.openxmlformats.org/drawingml/2006/picture">
                      <pic:pic xmlns:pic="http://schemas.openxmlformats.org/drawingml/2006/picture">
                        <pic:nvPicPr>
                          <pic:cNvPr id="11" name="图片 6" descr="1678518236699"/>
                          <pic:cNvPicPr/>
                        </pic:nvPicPr>
                        <pic:blipFill>
                          <a:blip r:embed="rId32"/>
                          <a:stretch>
                            <a:fillRect/>
                          </a:stretch>
                        </pic:blipFill>
                        <pic:spPr>
                          <a:xfrm>
                            <a:off x="0" y="0"/>
                            <a:ext cx="2879725" cy="1800225"/>
                          </a:xfrm>
                          <a:prstGeom prst="rect">
                            <a:avLst/>
                          </a:prstGeom>
                          <a:noFill/>
                          <a:ln>
                            <a:noFill/>
                          </a:ln>
                        </pic:spPr>
                      </pic:pic>
                    </a:graphicData>
                  </a:graphic>
                </wp:inline>
              </w:drawing>
            </w:r>
          </w:p>
        </w:tc>
      </w:tr>
      <w:tr w14:paraId="623732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4" w:hRule="atLeast"/>
        </w:trPr>
        <w:tc>
          <w:tcPr>
            <w:tcW w:w="4325" w:type="dxa"/>
            <w:tcBorders>
              <w:tl2br w:val="nil"/>
              <w:tr2bl w:val="nil"/>
            </w:tcBorders>
            <w:vAlign w:val="top"/>
          </w:tcPr>
          <w:p w14:paraId="681F8B65">
            <w:pPr>
              <w:pStyle w:val="6"/>
              <w:keepNext w:val="0"/>
              <w:keepLines w:val="0"/>
              <w:pageBreakBefore w:val="0"/>
              <w:widowControl w:val="0"/>
              <w:kinsoku/>
              <w:wordWrap/>
              <w:overflowPunct/>
              <w:topLinePunct w:val="0"/>
              <w:autoSpaceDE w:val="0"/>
              <w:autoSpaceDN w:val="0"/>
              <w:bidi w:val="0"/>
              <w:adjustRightInd/>
              <w:snapToGrid/>
              <w:spacing w:line="360" w:lineRule="auto"/>
              <w:ind w:right="0"/>
              <w:jc w:val="both"/>
              <w:textAlignment w:val="auto"/>
              <w:rPr>
                <w:rFonts w:ascii="仿宋" w:hAnsi="仿宋" w:eastAsia="仿宋"/>
                <w:color w:val="000000"/>
                <w:sz w:val="21"/>
                <w:szCs w:val="21"/>
              </w:rPr>
            </w:pPr>
            <w:r>
              <w:rPr>
                <w:rFonts w:eastAsia="仿宋"/>
                <w:color w:val="000000"/>
                <w:sz w:val="21"/>
                <w:szCs w:val="21"/>
              </w:rPr>
              <w:drawing>
                <wp:inline distT="0" distB="0" distL="114300" distR="114300">
                  <wp:extent cx="2879725" cy="1800225"/>
                  <wp:effectExtent l="0" t="0" r="15875" b="9525"/>
                  <wp:docPr id="39" name="图片 30"/>
                  <wp:cNvGraphicFramePr/>
                  <a:graphic xmlns:a="http://schemas.openxmlformats.org/drawingml/2006/main">
                    <a:graphicData uri="http://schemas.openxmlformats.org/drawingml/2006/picture">
                      <pic:pic xmlns:pic="http://schemas.openxmlformats.org/drawingml/2006/picture">
                        <pic:nvPicPr>
                          <pic:cNvPr id="39" name="图片 30"/>
                          <pic:cNvPicPr/>
                        </pic:nvPicPr>
                        <pic:blipFill>
                          <a:blip r:embed="rId33"/>
                          <a:stretch>
                            <a:fillRect/>
                          </a:stretch>
                        </pic:blipFill>
                        <pic:spPr>
                          <a:xfrm>
                            <a:off x="0" y="0"/>
                            <a:ext cx="2879725" cy="1800225"/>
                          </a:xfrm>
                          <a:prstGeom prst="rect">
                            <a:avLst/>
                          </a:prstGeom>
                          <a:noFill/>
                          <a:ln>
                            <a:noFill/>
                          </a:ln>
                        </pic:spPr>
                      </pic:pic>
                    </a:graphicData>
                  </a:graphic>
                </wp:inline>
              </w:drawing>
            </w:r>
          </w:p>
        </w:tc>
        <w:tc>
          <w:tcPr>
            <w:tcW w:w="4489" w:type="dxa"/>
            <w:tcBorders>
              <w:tl2br w:val="nil"/>
              <w:tr2bl w:val="nil"/>
            </w:tcBorders>
            <w:vAlign w:val="top"/>
          </w:tcPr>
          <w:p w14:paraId="33EB7880">
            <w:pPr>
              <w:pStyle w:val="6"/>
              <w:keepNext w:val="0"/>
              <w:keepLines w:val="0"/>
              <w:pageBreakBefore w:val="0"/>
              <w:widowControl w:val="0"/>
              <w:kinsoku/>
              <w:wordWrap/>
              <w:overflowPunct/>
              <w:topLinePunct w:val="0"/>
              <w:autoSpaceDE w:val="0"/>
              <w:autoSpaceDN w:val="0"/>
              <w:bidi w:val="0"/>
              <w:adjustRightInd/>
              <w:snapToGrid/>
              <w:spacing w:line="360" w:lineRule="auto"/>
              <w:ind w:right="0"/>
              <w:jc w:val="both"/>
              <w:textAlignment w:val="auto"/>
              <w:rPr>
                <w:rFonts w:eastAsia="仿宋"/>
                <w:color w:val="000000"/>
                <w:sz w:val="21"/>
                <w:szCs w:val="21"/>
              </w:rPr>
            </w:pPr>
            <w:r>
              <w:rPr>
                <w:rFonts w:ascii="Calibri" w:hAnsi="Calibri" w:eastAsia="仿宋"/>
                <w:color w:val="000000"/>
                <w:sz w:val="21"/>
                <w:szCs w:val="21"/>
              </w:rPr>
              <w:drawing>
                <wp:inline distT="0" distB="0" distL="0" distR="0">
                  <wp:extent cx="2879725" cy="1800225"/>
                  <wp:effectExtent l="0" t="0" r="15875" b="9525"/>
                  <wp:docPr id="100" name="图片 100" descr="d:\Users\jihl\Documents\WeChat Files\wxid_5828308281711\FileStorage\Temp\6759788a69dda976f2ee079f53bfba4.jpg"/>
                  <wp:cNvGraphicFramePr/>
                  <a:graphic xmlns:a="http://schemas.openxmlformats.org/drawingml/2006/main">
                    <a:graphicData uri="http://schemas.openxmlformats.org/drawingml/2006/picture">
                      <pic:pic xmlns:pic="http://schemas.openxmlformats.org/drawingml/2006/picture">
                        <pic:nvPicPr>
                          <pic:cNvPr id="100" name="图片 100" descr="d:\Users\jihl\Documents\WeChat Files\wxid_5828308281711\FileStorage\Temp\6759788a69dda976f2ee079f53bfba4.jpg"/>
                          <pic:cNvPicPr>
                            <a:picLocks noChangeArrowheads="1"/>
                          </pic:cNvPicPr>
                        </pic:nvPicPr>
                        <pic:blipFill>
                          <a:blip r:embed="rId34" cstate="print">
                            <a:extLst>
                              <a:ext uri="{28A0092B-C50C-407E-A947-70E740481C1C}">
                                <a14:useLocalDpi xmlns:a14="http://schemas.microsoft.com/office/drawing/2010/main" val="0"/>
                              </a:ext>
                            </a:extLst>
                          </a:blip>
                          <a:srcRect t="38402"/>
                          <a:stretch>
                            <a:fillRect/>
                          </a:stretch>
                        </pic:blipFill>
                        <pic:spPr>
                          <a:xfrm>
                            <a:off x="0" y="0"/>
                            <a:ext cx="2879725" cy="1800225"/>
                          </a:xfrm>
                          <a:prstGeom prst="rect">
                            <a:avLst/>
                          </a:prstGeom>
                          <a:noFill/>
                          <a:ln>
                            <a:noFill/>
                          </a:ln>
                        </pic:spPr>
                      </pic:pic>
                    </a:graphicData>
                  </a:graphic>
                </wp:inline>
              </w:drawing>
            </w:r>
          </w:p>
        </w:tc>
      </w:tr>
      <w:tr w14:paraId="777311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25" w:type="dxa"/>
            <w:tcBorders>
              <w:tl2br w:val="nil"/>
              <w:tr2bl w:val="nil"/>
            </w:tcBorders>
            <w:vAlign w:val="top"/>
          </w:tcPr>
          <w:p w14:paraId="596529BF">
            <w:pPr>
              <w:pStyle w:val="6"/>
              <w:keepNext w:val="0"/>
              <w:keepLines w:val="0"/>
              <w:pageBreakBefore w:val="0"/>
              <w:widowControl w:val="0"/>
              <w:kinsoku/>
              <w:wordWrap/>
              <w:overflowPunct/>
              <w:topLinePunct w:val="0"/>
              <w:autoSpaceDE w:val="0"/>
              <w:autoSpaceDN w:val="0"/>
              <w:bidi w:val="0"/>
              <w:adjustRightInd/>
              <w:snapToGrid/>
              <w:spacing w:line="360" w:lineRule="auto"/>
              <w:ind w:right="0"/>
              <w:jc w:val="both"/>
              <w:textAlignment w:val="auto"/>
              <w:rPr>
                <w:rFonts w:ascii="仿宋" w:hAnsi="仿宋" w:eastAsia="仿宋"/>
                <w:color w:val="000000"/>
                <w:sz w:val="21"/>
                <w:szCs w:val="21"/>
              </w:rPr>
            </w:pPr>
            <w:r>
              <w:rPr>
                <w:rFonts w:ascii="Calibri" w:hAnsi="Calibri" w:eastAsia="仿宋"/>
                <w:color w:val="000000"/>
                <w:sz w:val="21"/>
                <w:szCs w:val="21"/>
              </w:rPr>
              <w:drawing>
                <wp:inline distT="0" distB="0" distL="0" distR="0">
                  <wp:extent cx="2879725" cy="1800225"/>
                  <wp:effectExtent l="0" t="0" r="15875" b="9525"/>
                  <wp:docPr id="13" name="图片 13"/>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2879725" cy="1800225"/>
                          </a:xfrm>
                          <a:prstGeom prst="rect">
                            <a:avLst/>
                          </a:prstGeom>
                          <a:noFill/>
                        </pic:spPr>
                      </pic:pic>
                    </a:graphicData>
                  </a:graphic>
                </wp:inline>
              </w:drawing>
            </w:r>
          </w:p>
        </w:tc>
        <w:tc>
          <w:tcPr>
            <w:tcW w:w="4489" w:type="dxa"/>
            <w:tcBorders>
              <w:tl2br w:val="nil"/>
              <w:tr2bl w:val="nil"/>
            </w:tcBorders>
            <w:vAlign w:val="top"/>
          </w:tcPr>
          <w:p w14:paraId="4F0DBD95">
            <w:pPr>
              <w:pStyle w:val="6"/>
              <w:keepNext w:val="0"/>
              <w:keepLines w:val="0"/>
              <w:pageBreakBefore w:val="0"/>
              <w:widowControl w:val="0"/>
              <w:kinsoku/>
              <w:wordWrap/>
              <w:overflowPunct/>
              <w:topLinePunct w:val="0"/>
              <w:autoSpaceDE w:val="0"/>
              <w:autoSpaceDN w:val="0"/>
              <w:bidi w:val="0"/>
              <w:adjustRightInd/>
              <w:snapToGrid/>
              <w:spacing w:line="360" w:lineRule="auto"/>
              <w:ind w:right="0"/>
              <w:jc w:val="both"/>
              <w:textAlignment w:val="auto"/>
              <w:rPr>
                <w:rFonts w:eastAsia="仿宋"/>
                <w:color w:val="000000"/>
                <w:sz w:val="21"/>
                <w:szCs w:val="21"/>
              </w:rPr>
            </w:pPr>
            <w:r>
              <w:rPr>
                <w:color w:val="000000"/>
                <w:sz w:val="21"/>
                <w:szCs w:val="21"/>
              </w:rPr>
              <w:drawing>
                <wp:inline distT="0" distB="0" distL="114300" distR="114300">
                  <wp:extent cx="2879725" cy="1800225"/>
                  <wp:effectExtent l="0" t="0" r="15875" b="9525"/>
                  <wp:docPr id="45" name="图片 36" descr="e1b4af7e4d7223220ee2a40b5290b2c"/>
                  <wp:cNvGraphicFramePr/>
                  <a:graphic xmlns:a="http://schemas.openxmlformats.org/drawingml/2006/main">
                    <a:graphicData uri="http://schemas.openxmlformats.org/drawingml/2006/picture">
                      <pic:pic xmlns:pic="http://schemas.openxmlformats.org/drawingml/2006/picture">
                        <pic:nvPicPr>
                          <pic:cNvPr id="45" name="图片 36" descr="e1b4af7e4d7223220ee2a40b5290b2c"/>
                          <pic:cNvPicPr/>
                        </pic:nvPicPr>
                        <pic:blipFill>
                          <a:blip r:embed="rId36"/>
                          <a:stretch>
                            <a:fillRect/>
                          </a:stretch>
                        </pic:blipFill>
                        <pic:spPr>
                          <a:xfrm>
                            <a:off x="0" y="0"/>
                            <a:ext cx="2879725" cy="1800225"/>
                          </a:xfrm>
                          <a:prstGeom prst="rect">
                            <a:avLst/>
                          </a:prstGeom>
                          <a:noFill/>
                          <a:ln>
                            <a:noFill/>
                          </a:ln>
                        </pic:spPr>
                      </pic:pic>
                    </a:graphicData>
                  </a:graphic>
                </wp:inline>
              </w:drawing>
            </w:r>
          </w:p>
        </w:tc>
      </w:tr>
      <w:tr w14:paraId="71D45F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25" w:type="dxa"/>
            <w:tcBorders>
              <w:tl2br w:val="nil"/>
              <w:tr2bl w:val="nil"/>
            </w:tcBorders>
            <w:vAlign w:val="top"/>
          </w:tcPr>
          <w:p w14:paraId="1E99CD18">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eastAsia="仿宋"/>
                <w:color w:val="000000"/>
                <w:sz w:val="21"/>
                <w:szCs w:val="21"/>
              </w:rPr>
            </w:pPr>
            <w:r>
              <w:rPr>
                <w:rFonts w:eastAsia="仿宋"/>
                <w:b/>
                <w:color w:val="000000"/>
              </w:rPr>
              <w:drawing>
                <wp:inline distT="0" distB="0" distL="114300" distR="114300">
                  <wp:extent cx="2879725" cy="1800225"/>
                  <wp:effectExtent l="0" t="0" r="15875" b="9525"/>
                  <wp:docPr id="46" name="图片 37" descr="d:\Users\jihl\Documents\WeChat Files\wxid_5828308281711\FileStorage\Temp\5d7fdccd3da735a452d4da99f5920fe1.jpg"/>
                  <wp:cNvGraphicFramePr/>
                  <a:graphic xmlns:a="http://schemas.openxmlformats.org/drawingml/2006/main">
                    <a:graphicData uri="http://schemas.openxmlformats.org/drawingml/2006/picture">
                      <pic:pic xmlns:pic="http://schemas.openxmlformats.org/drawingml/2006/picture">
                        <pic:nvPicPr>
                          <pic:cNvPr id="46" name="图片 37" descr="d:\Users\jihl\Documents\WeChat Files\wxid_5828308281711\FileStorage\Temp\5d7fdccd3da735a452d4da99f5920fe1.jpg"/>
                          <pic:cNvPicPr/>
                        </pic:nvPicPr>
                        <pic:blipFill>
                          <a:blip r:embed="rId37"/>
                          <a:stretch>
                            <a:fillRect/>
                          </a:stretch>
                        </pic:blipFill>
                        <pic:spPr>
                          <a:xfrm>
                            <a:off x="0" y="0"/>
                            <a:ext cx="2879725" cy="1800225"/>
                          </a:xfrm>
                          <a:prstGeom prst="rect">
                            <a:avLst/>
                          </a:prstGeom>
                          <a:noFill/>
                          <a:ln>
                            <a:noFill/>
                          </a:ln>
                        </pic:spPr>
                      </pic:pic>
                    </a:graphicData>
                  </a:graphic>
                </wp:inline>
              </w:drawing>
            </w:r>
          </w:p>
        </w:tc>
        <w:tc>
          <w:tcPr>
            <w:tcW w:w="4489" w:type="dxa"/>
            <w:tcBorders>
              <w:tl2br w:val="nil"/>
              <w:tr2bl w:val="nil"/>
            </w:tcBorders>
            <w:vAlign w:val="top"/>
          </w:tcPr>
          <w:p w14:paraId="3F61FFE4">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ascii="等线" w:hAnsi="等线" w:eastAsia="等线"/>
                <w:color w:val="000000"/>
                <w:sz w:val="21"/>
                <w:szCs w:val="22"/>
              </w:rPr>
            </w:pPr>
            <w:r>
              <w:rPr>
                <w:rFonts w:eastAsia="等线"/>
                <w:b/>
                <w:color w:val="000000"/>
                <w:sz w:val="21"/>
                <w:szCs w:val="22"/>
              </w:rPr>
              <w:drawing>
                <wp:inline distT="0" distB="0" distL="114300" distR="114300">
                  <wp:extent cx="2879725" cy="1800225"/>
                  <wp:effectExtent l="0" t="0" r="15875" b="9525"/>
                  <wp:docPr id="43" name="图片 34"/>
                  <wp:cNvGraphicFramePr/>
                  <a:graphic xmlns:a="http://schemas.openxmlformats.org/drawingml/2006/main">
                    <a:graphicData uri="http://schemas.openxmlformats.org/drawingml/2006/picture">
                      <pic:pic xmlns:pic="http://schemas.openxmlformats.org/drawingml/2006/picture">
                        <pic:nvPicPr>
                          <pic:cNvPr id="43" name="图片 34"/>
                          <pic:cNvPicPr/>
                        </pic:nvPicPr>
                        <pic:blipFill>
                          <a:blip r:embed="rId38"/>
                          <a:srcRect t="21005" b="7469"/>
                          <a:stretch>
                            <a:fillRect/>
                          </a:stretch>
                        </pic:blipFill>
                        <pic:spPr>
                          <a:xfrm>
                            <a:off x="0" y="0"/>
                            <a:ext cx="2879725" cy="1800225"/>
                          </a:xfrm>
                          <a:prstGeom prst="rect">
                            <a:avLst/>
                          </a:prstGeom>
                          <a:noFill/>
                          <a:ln>
                            <a:noFill/>
                          </a:ln>
                        </pic:spPr>
                      </pic:pic>
                    </a:graphicData>
                  </a:graphic>
                </wp:inline>
              </w:drawing>
            </w:r>
          </w:p>
        </w:tc>
      </w:tr>
      <w:tr w14:paraId="029EF1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25" w:type="dxa"/>
            <w:tcBorders>
              <w:tl2br w:val="nil"/>
              <w:tr2bl w:val="nil"/>
            </w:tcBorders>
            <w:vAlign w:val="top"/>
          </w:tcPr>
          <w:p w14:paraId="39DCFB46">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ascii="仿宋" w:hAnsi="仿宋" w:eastAsia="仿宋"/>
                <w:color w:val="000000"/>
                <w:sz w:val="21"/>
                <w:szCs w:val="21"/>
              </w:rPr>
            </w:pPr>
            <w:r>
              <w:rPr>
                <w:color w:val="000000"/>
              </w:rPr>
              <w:drawing>
                <wp:inline distT="0" distB="0" distL="114300" distR="114300">
                  <wp:extent cx="2879725" cy="1800225"/>
                  <wp:effectExtent l="0" t="0" r="15875" b="9525"/>
                  <wp:docPr id="56" name="图片 47"/>
                  <wp:cNvGraphicFramePr/>
                  <a:graphic xmlns:a="http://schemas.openxmlformats.org/drawingml/2006/main">
                    <a:graphicData uri="http://schemas.openxmlformats.org/drawingml/2006/picture">
                      <pic:pic xmlns:pic="http://schemas.openxmlformats.org/drawingml/2006/picture">
                        <pic:nvPicPr>
                          <pic:cNvPr id="56" name="图片 47"/>
                          <pic:cNvPicPr/>
                        </pic:nvPicPr>
                        <pic:blipFill>
                          <a:blip r:embed="rId39"/>
                          <a:stretch>
                            <a:fillRect/>
                          </a:stretch>
                        </pic:blipFill>
                        <pic:spPr>
                          <a:xfrm>
                            <a:off x="0" y="0"/>
                            <a:ext cx="2879725" cy="1800225"/>
                          </a:xfrm>
                          <a:prstGeom prst="rect">
                            <a:avLst/>
                          </a:prstGeom>
                          <a:noFill/>
                          <a:ln>
                            <a:noFill/>
                          </a:ln>
                        </pic:spPr>
                      </pic:pic>
                    </a:graphicData>
                  </a:graphic>
                </wp:inline>
              </w:drawing>
            </w:r>
          </w:p>
        </w:tc>
        <w:tc>
          <w:tcPr>
            <w:tcW w:w="4489" w:type="dxa"/>
            <w:tcBorders>
              <w:tl2br w:val="nil"/>
              <w:tr2bl w:val="nil"/>
            </w:tcBorders>
            <w:vAlign w:val="top"/>
          </w:tcPr>
          <w:p w14:paraId="784FDB72">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pPr>
            <w:r>
              <w:rPr>
                <w:color w:val="000000"/>
              </w:rPr>
              <w:drawing>
                <wp:inline distT="0" distB="0" distL="114300" distR="114300">
                  <wp:extent cx="2879725" cy="1800225"/>
                  <wp:effectExtent l="0" t="0" r="15875" b="9525"/>
                  <wp:docPr id="57" name="图片 48" descr="d:\Users\jihl\Documents\WeChat Files\wxid_5828308281711\FileStorage\Temp\1718422453015.png"/>
                  <wp:cNvGraphicFramePr/>
                  <a:graphic xmlns:a="http://schemas.openxmlformats.org/drawingml/2006/main">
                    <a:graphicData uri="http://schemas.openxmlformats.org/drawingml/2006/picture">
                      <pic:pic xmlns:pic="http://schemas.openxmlformats.org/drawingml/2006/picture">
                        <pic:nvPicPr>
                          <pic:cNvPr id="57" name="图片 48" descr="d:\Users\jihl\Documents\WeChat Files\wxid_5828308281711\FileStorage\Temp\1718422453015.png"/>
                          <pic:cNvPicPr/>
                        </pic:nvPicPr>
                        <pic:blipFill>
                          <a:blip r:embed="rId40"/>
                          <a:srcRect l="50175"/>
                          <a:stretch>
                            <a:fillRect/>
                          </a:stretch>
                        </pic:blipFill>
                        <pic:spPr>
                          <a:xfrm>
                            <a:off x="0" y="0"/>
                            <a:ext cx="2879725" cy="1800225"/>
                          </a:xfrm>
                          <a:prstGeom prst="rect">
                            <a:avLst/>
                          </a:prstGeom>
                          <a:noFill/>
                          <a:ln>
                            <a:noFill/>
                          </a:ln>
                        </pic:spPr>
                      </pic:pic>
                    </a:graphicData>
                  </a:graphic>
                </wp:inline>
              </w:drawing>
            </w:r>
          </w:p>
        </w:tc>
      </w:tr>
      <w:tr w14:paraId="145FE0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25" w:type="dxa"/>
            <w:tcBorders>
              <w:tl2br w:val="nil"/>
              <w:tr2bl w:val="nil"/>
            </w:tcBorders>
            <w:vAlign w:val="top"/>
          </w:tcPr>
          <w:p w14:paraId="3ABA11F1">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ascii="仿宋" w:hAnsi="仿宋" w:eastAsia="仿宋"/>
                <w:color w:val="000000"/>
                <w:sz w:val="21"/>
                <w:szCs w:val="21"/>
              </w:rPr>
            </w:pPr>
            <w:r>
              <w:rPr>
                <w:rFonts w:eastAsia="仿宋"/>
                <w:color w:val="000000"/>
              </w:rPr>
              <w:drawing>
                <wp:inline distT="0" distB="0" distL="114300" distR="114300">
                  <wp:extent cx="2823210" cy="1711960"/>
                  <wp:effectExtent l="0" t="0" r="15240" b="2540"/>
                  <wp:docPr id="70" name="图片 58" descr="d:\Users\jihl\Documents\WeChat Files\wxid_5828308281711\FileStorage\Temp\1723111061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8" descr="d:\Users\jihl\Documents\WeChat Files\wxid_5828308281711\FileStorage\Temp\1723111061724.png"/>
                          <pic:cNvPicPr>
                            <a:picLocks noChangeAspect="1"/>
                          </pic:cNvPicPr>
                        </pic:nvPicPr>
                        <pic:blipFill>
                          <a:blip r:embed="rId41"/>
                          <a:stretch>
                            <a:fillRect/>
                          </a:stretch>
                        </pic:blipFill>
                        <pic:spPr>
                          <a:xfrm>
                            <a:off x="0" y="0"/>
                            <a:ext cx="2823210" cy="1711960"/>
                          </a:xfrm>
                          <a:prstGeom prst="rect">
                            <a:avLst/>
                          </a:prstGeom>
                          <a:noFill/>
                          <a:ln>
                            <a:noFill/>
                          </a:ln>
                        </pic:spPr>
                      </pic:pic>
                    </a:graphicData>
                  </a:graphic>
                </wp:inline>
              </w:drawing>
            </w:r>
          </w:p>
        </w:tc>
        <w:tc>
          <w:tcPr>
            <w:tcW w:w="4489" w:type="dxa"/>
            <w:tcBorders>
              <w:tl2br w:val="nil"/>
              <w:tr2bl w:val="nil"/>
            </w:tcBorders>
            <w:vAlign w:val="top"/>
          </w:tcPr>
          <w:p w14:paraId="18B7E847">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pPr>
            <w:r>
              <w:rPr>
                <w:rFonts w:eastAsia="仿宋"/>
                <w:color w:val="000000"/>
              </w:rPr>
              <w:drawing>
                <wp:inline distT="0" distB="0" distL="114300" distR="114300">
                  <wp:extent cx="2802890" cy="1730375"/>
                  <wp:effectExtent l="0" t="0" r="1270" b="6985"/>
                  <wp:docPr id="69" name="图片 57" descr="d:\Users\jihl\Documents\WeChat Files\wxid_5828308281711\FileStorage\Temp\17231107189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7" descr="d:\Users\jihl\Documents\WeChat Files\wxid_5828308281711\FileStorage\Temp\1723110718971.png"/>
                          <pic:cNvPicPr>
                            <a:picLocks noChangeAspect="1"/>
                          </pic:cNvPicPr>
                        </pic:nvPicPr>
                        <pic:blipFill>
                          <a:blip r:embed="rId42"/>
                          <a:stretch>
                            <a:fillRect/>
                          </a:stretch>
                        </pic:blipFill>
                        <pic:spPr>
                          <a:xfrm>
                            <a:off x="0" y="0"/>
                            <a:ext cx="2802890" cy="1730375"/>
                          </a:xfrm>
                          <a:prstGeom prst="rect">
                            <a:avLst/>
                          </a:prstGeom>
                          <a:noFill/>
                          <a:ln>
                            <a:noFill/>
                          </a:ln>
                        </pic:spPr>
                      </pic:pic>
                    </a:graphicData>
                  </a:graphic>
                </wp:inline>
              </w:drawing>
            </w:r>
          </w:p>
        </w:tc>
      </w:tr>
      <w:tr w14:paraId="2EC693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25" w:type="dxa"/>
            <w:tcBorders>
              <w:tl2br w:val="nil"/>
              <w:tr2bl w:val="nil"/>
            </w:tcBorders>
            <w:vAlign w:val="top"/>
          </w:tcPr>
          <w:p w14:paraId="75C23E6F">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pPr>
            <w:r>
              <w:rPr>
                <w:rFonts w:eastAsia="宋体"/>
                <w:color w:val="000000"/>
              </w:rPr>
              <w:drawing>
                <wp:inline distT="0" distB="0" distL="114300" distR="114300">
                  <wp:extent cx="2821940" cy="1788160"/>
                  <wp:effectExtent l="0" t="0" r="12700" b="10160"/>
                  <wp:docPr id="5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0"/>
                          <pic:cNvPicPr>
                            <a:picLocks noChangeAspect="1"/>
                          </pic:cNvPicPr>
                        </pic:nvPicPr>
                        <pic:blipFill>
                          <a:blip r:embed="rId43"/>
                          <a:srcRect l="12723"/>
                          <a:stretch>
                            <a:fillRect/>
                          </a:stretch>
                        </pic:blipFill>
                        <pic:spPr>
                          <a:xfrm>
                            <a:off x="0" y="0"/>
                            <a:ext cx="2821940" cy="1788160"/>
                          </a:xfrm>
                          <a:prstGeom prst="rect">
                            <a:avLst/>
                          </a:prstGeom>
                          <a:noFill/>
                          <a:ln>
                            <a:noFill/>
                          </a:ln>
                        </pic:spPr>
                      </pic:pic>
                    </a:graphicData>
                  </a:graphic>
                </wp:inline>
              </w:drawing>
            </w:r>
          </w:p>
        </w:tc>
        <w:tc>
          <w:tcPr>
            <w:tcW w:w="4489" w:type="dxa"/>
            <w:tcBorders>
              <w:tl2br w:val="nil"/>
              <w:tr2bl w:val="nil"/>
            </w:tcBorders>
            <w:vAlign w:val="top"/>
          </w:tcPr>
          <w:p w14:paraId="39FE5A26">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color w:val="000000"/>
              </w:rPr>
            </w:pPr>
            <w:r>
              <w:rPr>
                <w:color w:val="000000"/>
              </w:rPr>
              <w:drawing>
                <wp:inline distT="0" distB="0" distL="114300" distR="114300">
                  <wp:extent cx="2782570" cy="1798955"/>
                  <wp:effectExtent l="0" t="0" r="6350" b="14605"/>
                  <wp:docPr id="58" name="图片 49" descr="68d622cc09edbaaf0bda4e6e0e9d5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9" descr="68d622cc09edbaaf0bda4e6e0e9d5ae"/>
                          <pic:cNvPicPr>
                            <a:picLocks noChangeAspect="1"/>
                          </pic:cNvPicPr>
                        </pic:nvPicPr>
                        <pic:blipFill>
                          <a:blip r:embed="rId44"/>
                          <a:stretch>
                            <a:fillRect/>
                          </a:stretch>
                        </pic:blipFill>
                        <pic:spPr>
                          <a:xfrm>
                            <a:off x="0" y="0"/>
                            <a:ext cx="2782570" cy="1798955"/>
                          </a:xfrm>
                          <a:prstGeom prst="rect">
                            <a:avLst/>
                          </a:prstGeom>
                          <a:noFill/>
                          <a:ln>
                            <a:noFill/>
                          </a:ln>
                        </pic:spPr>
                      </pic:pic>
                    </a:graphicData>
                  </a:graphic>
                </wp:inline>
              </w:drawing>
            </w:r>
          </w:p>
        </w:tc>
      </w:tr>
      <w:tr w14:paraId="5AAED7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25" w:type="dxa"/>
            <w:tcBorders>
              <w:tl2br w:val="nil"/>
              <w:tr2bl w:val="nil"/>
            </w:tcBorders>
            <w:vAlign w:val="top"/>
          </w:tcPr>
          <w:p w14:paraId="57566A20">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ascii="仿宋" w:hAnsi="仿宋" w:eastAsia="仿宋"/>
                <w:color w:val="000000"/>
                <w:sz w:val="21"/>
                <w:szCs w:val="21"/>
              </w:rPr>
            </w:pPr>
            <w:r>
              <w:rPr>
                <w:color w:val="000000"/>
              </w:rPr>
              <w:drawing>
                <wp:inline distT="0" distB="0" distL="114300" distR="114300">
                  <wp:extent cx="2879725" cy="1800225"/>
                  <wp:effectExtent l="0" t="0" r="15875" b="9525"/>
                  <wp:docPr id="49" name="图片 40" descr="图片"/>
                  <wp:cNvGraphicFramePr/>
                  <a:graphic xmlns:a="http://schemas.openxmlformats.org/drawingml/2006/main">
                    <a:graphicData uri="http://schemas.openxmlformats.org/drawingml/2006/picture">
                      <pic:pic xmlns:pic="http://schemas.openxmlformats.org/drawingml/2006/picture">
                        <pic:nvPicPr>
                          <pic:cNvPr id="49" name="图片 40" descr="图片"/>
                          <pic:cNvPicPr/>
                        </pic:nvPicPr>
                        <pic:blipFill>
                          <a:blip r:embed="rId45"/>
                          <a:stretch>
                            <a:fillRect/>
                          </a:stretch>
                        </pic:blipFill>
                        <pic:spPr>
                          <a:xfrm>
                            <a:off x="0" y="0"/>
                            <a:ext cx="2879725" cy="1800225"/>
                          </a:xfrm>
                          <a:prstGeom prst="rect">
                            <a:avLst/>
                          </a:prstGeom>
                          <a:noFill/>
                          <a:ln>
                            <a:noFill/>
                          </a:ln>
                        </pic:spPr>
                      </pic:pic>
                    </a:graphicData>
                  </a:graphic>
                </wp:inline>
              </w:drawing>
            </w:r>
          </w:p>
        </w:tc>
        <w:tc>
          <w:tcPr>
            <w:tcW w:w="4489" w:type="dxa"/>
            <w:tcBorders>
              <w:tl2br w:val="nil"/>
              <w:tr2bl w:val="nil"/>
            </w:tcBorders>
            <w:vAlign w:val="top"/>
          </w:tcPr>
          <w:p w14:paraId="258070A7">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eastAsia="仿宋"/>
                <w:color w:val="000000"/>
                <w:sz w:val="21"/>
                <w:szCs w:val="21"/>
              </w:rPr>
            </w:pPr>
            <w:r>
              <w:rPr>
                <w:color w:val="000000"/>
              </w:rPr>
              <w:drawing>
                <wp:inline distT="0" distB="0" distL="114300" distR="114300">
                  <wp:extent cx="2879725" cy="1800225"/>
                  <wp:effectExtent l="0" t="0" r="15875" b="9525"/>
                  <wp:docPr id="47" name="图片 38" descr="图片"/>
                  <wp:cNvGraphicFramePr/>
                  <a:graphic xmlns:a="http://schemas.openxmlformats.org/drawingml/2006/main">
                    <a:graphicData uri="http://schemas.openxmlformats.org/drawingml/2006/picture">
                      <pic:pic xmlns:pic="http://schemas.openxmlformats.org/drawingml/2006/picture">
                        <pic:nvPicPr>
                          <pic:cNvPr id="47" name="图片 38" descr="图片"/>
                          <pic:cNvPicPr/>
                        </pic:nvPicPr>
                        <pic:blipFill>
                          <a:blip r:embed="rId46"/>
                          <a:stretch>
                            <a:fillRect/>
                          </a:stretch>
                        </pic:blipFill>
                        <pic:spPr>
                          <a:xfrm>
                            <a:off x="0" y="0"/>
                            <a:ext cx="2879725" cy="1800225"/>
                          </a:xfrm>
                          <a:prstGeom prst="rect">
                            <a:avLst/>
                          </a:prstGeom>
                          <a:noFill/>
                          <a:ln>
                            <a:noFill/>
                          </a:ln>
                        </pic:spPr>
                      </pic:pic>
                    </a:graphicData>
                  </a:graphic>
                </wp:inline>
              </w:drawing>
            </w:r>
          </w:p>
        </w:tc>
      </w:tr>
      <w:tr w14:paraId="38813D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25" w:type="dxa"/>
            <w:tcBorders>
              <w:tl2br w:val="nil"/>
              <w:tr2bl w:val="nil"/>
            </w:tcBorders>
            <w:vAlign w:val="top"/>
          </w:tcPr>
          <w:p w14:paraId="08795D33">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ascii="仿宋" w:hAnsi="仿宋" w:eastAsia="仿宋"/>
                <w:color w:val="000000"/>
                <w:sz w:val="21"/>
                <w:szCs w:val="21"/>
              </w:rPr>
            </w:pPr>
            <w:r>
              <w:rPr>
                <w:rFonts w:ascii="等线" w:hAnsi="等线" w:eastAsia="等线"/>
                <w:color w:val="000000"/>
                <w:sz w:val="21"/>
                <w:szCs w:val="22"/>
              </w:rPr>
              <w:drawing>
                <wp:inline distT="0" distB="0" distL="114300" distR="114300">
                  <wp:extent cx="2879725" cy="1800225"/>
                  <wp:effectExtent l="0" t="0" r="15875" b="9525"/>
                  <wp:docPr id="28" name="图片 19"/>
                  <wp:cNvGraphicFramePr/>
                  <a:graphic xmlns:a="http://schemas.openxmlformats.org/drawingml/2006/main">
                    <a:graphicData uri="http://schemas.openxmlformats.org/drawingml/2006/picture">
                      <pic:pic xmlns:pic="http://schemas.openxmlformats.org/drawingml/2006/picture">
                        <pic:nvPicPr>
                          <pic:cNvPr id="28" name="图片 19"/>
                          <pic:cNvPicPr/>
                        </pic:nvPicPr>
                        <pic:blipFill>
                          <a:blip r:embed="rId47"/>
                          <a:srcRect r="21684"/>
                          <a:stretch>
                            <a:fillRect/>
                          </a:stretch>
                        </pic:blipFill>
                        <pic:spPr>
                          <a:xfrm>
                            <a:off x="0" y="0"/>
                            <a:ext cx="2879725" cy="1800225"/>
                          </a:xfrm>
                          <a:prstGeom prst="rect">
                            <a:avLst/>
                          </a:prstGeom>
                          <a:noFill/>
                          <a:ln>
                            <a:noFill/>
                          </a:ln>
                        </pic:spPr>
                      </pic:pic>
                    </a:graphicData>
                  </a:graphic>
                </wp:inline>
              </w:drawing>
            </w:r>
          </w:p>
        </w:tc>
        <w:tc>
          <w:tcPr>
            <w:tcW w:w="4489" w:type="dxa"/>
            <w:tcBorders>
              <w:tl2br w:val="nil"/>
              <w:tr2bl w:val="nil"/>
            </w:tcBorders>
            <w:vAlign w:val="top"/>
          </w:tcPr>
          <w:p w14:paraId="4353D2D9">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eastAsia="仿宋"/>
                <w:color w:val="000000"/>
                <w:sz w:val="21"/>
                <w:szCs w:val="21"/>
              </w:rPr>
            </w:pPr>
            <w:r>
              <w:drawing>
                <wp:inline distT="0" distB="0" distL="114300" distR="114300">
                  <wp:extent cx="2879725" cy="1800225"/>
                  <wp:effectExtent l="0" t="0" r="15875" b="9525"/>
                  <wp:docPr id="32" name="图片 23"/>
                  <wp:cNvGraphicFramePr/>
                  <a:graphic xmlns:a="http://schemas.openxmlformats.org/drawingml/2006/main">
                    <a:graphicData uri="http://schemas.openxmlformats.org/drawingml/2006/picture">
                      <pic:pic xmlns:pic="http://schemas.openxmlformats.org/drawingml/2006/picture">
                        <pic:nvPicPr>
                          <pic:cNvPr id="32" name="图片 23"/>
                          <pic:cNvPicPr/>
                        </pic:nvPicPr>
                        <pic:blipFill>
                          <a:blip r:embed="rId48"/>
                          <a:stretch>
                            <a:fillRect/>
                          </a:stretch>
                        </pic:blipFill>
                        <pic:spPr>
                          <a:xfrm>
                            <a:off x="0" y="0"/>
                            <a:ext cx="2879725" cy="1800225"/>
                          </a:xfrm>
                          <a:prstGeom prst="rect">
                            <a:avLst/>
                          </a:prstGeom>
                          <a:noFill/>
                          <a:ln>
                            <a:noFill/>
                          </a:ln>
                        </pic:spPr>
                      </pic:pic>
                    </a:graphicData>
                  </a:graphic>
                </wp:inline>
              </w:drawing>
            </w:r>
          </w:p>
        </w:tc>
      </w:tr>
      <w:tr w14:paraId="32EF85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25" w:type="dxa"/>
            <w:tcBorders>
              <w:tl2br w:val="nil"/>
              <w:tr2bl w:val="nil"/>
            </w:tcBorders>
            <w:vAlign w:val="top"/>
          </w:tcPr>
          <w:p w14:paraId="52852D68">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eastAsia="仿宋"/>
                <w:color w:val="000000"/>
                <w:sz w:val="21"/>
                <w:szCs w:val="21"/>
              </w:rPr>
            </w:pPr>
            <w:r>
              <w:rPr>
                <w:rFonts w:eastAsia="仿宋"/>
                <w:color w:val="000000"/>
                <w:sz w:val="18"/>
                <w:szCs w:val="18"/>
              </w:rPr>
              <w:drawing>
                <wp:inline distT="0" distB="0" distL="114300" distR="114300">
                  <wp:extent cx="2879725" cy="1800225"/>
                  <wp:effectExtent l="0" t="0" r="15875" b="9525"/>
                  <wp:docPr id="48" name="图片 39"/>
                  <wp:cNvGraphicFramePr/>
                  <a:graphic xmlns:a="http://schemas.openxmlformats.org/drawingml/2006/main">
                    <a:graphicData uri="http://schemas.openxmlformats.org/drawingml/2006/picture">
                      <pic:pic xmlns:pic="http://schemas.openxmlformats.org/drawingml/2006/picture">
                        <pic:nvPicPr>
                          <pic:cNvPr id="48" name="图片 39"/>
                          <pic:cNvPicPr/>
                        </pic:nvPicPr>
                        <pic:blipFill>
                          <a:blip r:embed="rId49"/>
                          <a:stretch>
                            <a:fillRect/>
                          </a:stretch>
                        </pic:blipFill>
                        <pic:spPr>
                          <a:xfrm>
                            <a:off x="0" y="0"/>
                            <a:ext cx="2879725" cy="1800225"/>
                          </a:xfrm>
                          <a:prstGeom prst="rect">
                            <a:avLst/>
                          </a:prstGeom>
                          <a:noFill/>
                          <a:ln>
                            <a:noFill/>
                          </a:ln>
                        </pic:spPr>
                      </pic:pic>
                    </a:graphicData>
                  </a:graphic>
                </wp:inline>
              </w:drawing>
            </w:r>
          </w:p>
        </w:tc>
        <w:tc>
          <w:tcPr>
            <w:tcW w:w="4489" w:type="dxa"/>
            <w:tcBorders>
              <w:tl2br w:val="nil"/>
              <w:tr2bl w:val="nil"/>
            </w:tcBorders>
            <w:vAlign w:val="top"/>
          </w:tcPr>
          <w:p w14:paraId="660D9176">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eastAsia="仿宋"/>
                <w:color w:val="000000"/>
                <w:sz w:val="21"/>
                <w:szCs w:val="21"/>
              </w:rPr>
            </w:pPr>
            <w:r>
              <w:rPr>
                <w:rFonts w:eastAsia="仿宋"/>
                <w:color w:val="000000"/>
                <w:sz w:val="21"/>
                <w:szCs w:val="21"/>
              </w:rPr>
              <w:drawing>
                <wp:inline distT="0" distB="0" distL="114300" distR="114300">
                  <wp:extent cx="2879725" cy="1800225"/>
                  <wp:effectExtent l="0" t="0" r="15875" b="9525"/>
                  <wp:docPr id="38" name="图片 29"/>
                  <wp:cNvGraphicFramePr/>
                  <a:graphic xmlns:a="http://schemas.openxmlformats.org/drawingml/2006/main">
                    <a:graphicData uri="http://schemas.openxmlformats.org/drawingml/2006/picture">
                      <pic:pic xmlns:pic="http://schemas.openxmlformats.org/drawingml/2006/picture">
                        <pic:nvPicPr>
                          <pic:cNvPr id="38" name="图片 29"/>
                          <pic:cNvPicPr/>
                        </pic:nvPicPr>
                        <pic:blipFill>
                          <a:blip r:embed="rId50"/>
                          <a:stretch>
                            <a:fillRect/>
                          </a:stretch>
                        </pic:blipFill>
                        <pic:spPr>
                          <a:xfrm>
                            <a:off x="0" y="0"/>
                            <a:ext cx="2879725" cy="1800225"/>
                          </a:xfrm>
                          <a:prstGeom prst="rect">
                            <a:avLst/>
                          </a:prstGeom>
                          <a:noFill/>
                          <a:ln>
                            <a:noFill/>
                          </a:ln>
                        </pic:spPr>
                      </pic:pic>
                    </a:graphicData>
                  </a:graphic>
                </wp:inline>
              </w:drawing>
            </w:r>
          </w:p>
        </w:tc>
      </w:tr>
      <w:tr w14:paraId="4D8883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25" w:type="dxa"/>
            <w:tcBorders>
              <w:tl2br w:val="nil"/>
              <w:tr2bl w:val="nil"/>
            </w:tcBorders>
            <w:vAlign w:val="top"/>
          </w:tcPr>
          <w:p w14:paraId="4E98CCC6">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eastAsia="仿宋"/>
                <w:color w:val="000000"/>
                <w:sz w:val="21"/>
                <w:szCs w:val="21"/>
              </w:rPr>
            </w:pPr>
            <w:r>
              <w:rPr>
                <w:rFonts w:eastAsia="仿宋"/>
                <w:color w:val="000000"/>
                <w:sz w:val="21"/>
                <w:szCs w:val="21"/>
              </w:rPr>
              <w:drawing>
                <wp:inline distT="0" distB="0" distL="114300" distR="114300">
                  <wp:extent cx="2879725" cy="1800225"/>
                  <wp:effectExtent l="0" t="0" r="15875" b="9525"/>
                  <wp:docPr id="16" name="图片 8" descr="1678586022715"/>
                  <wp:cNvGraphicFramePr/>
                  <a:graphic xmlns:a="http://schemas.openxmlformats.org/drawingml/2006/main">
                    <a:graphicData uri="http://schemas.openxmlformats.org/drawingml/2006/picture">
                      <pic:pic xmlns:pic="http://schemas.openxmlformats.org/drawingml/2006/picture">
                        <pic:nvPicPr>
                          <pic:cNvPr id="16" name="图片 8" descr="1678586022715"/>
                          <pic:cNvPicPr/>
                        </pic:nvPicPr>
                        <pic:blipFill>
                          <a:blip r:embed="rId51"/>
                          <a:stretch>
                            <a:fillRect/>
                          </a:stretch>
                        </pic:blipFill>
                        <pic:spPr>
                          <a:xfrm>
                            <a:off x="0" y="0"/>
                            <a:ext cx="2879725" cy="1800225"/>
                          </a:xfrm>
                          <a:prstGeom prst="rect">
                            <a:avLst/>
                          </a:prstGeom>
                          <a:noFill/>
                          <a:ln>
                            <a:noFill/>
                          </a:ln>
                        </pic:spPr>
                      </pic:pic>
                    </a:graphicData>
                  </a:graphic>
                </wp:inline>
              </w:drawing>
            </w:r>
          </w:p>
        </w:tc>
        <w:tc>
          <w:tcPr>
            <w:tcW w:w="4489" w:type="dxa"/>
            <w:tcBorders>
              <w:tl2br w:val="nil"/>
              <w:tr2bl w:val="nil"/>
            </w:tcBorders>
            <w:vAlign w:val="top"/>
          </w:tcPr>
          <w:p w14:paraId="6591ABFC">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eastAsia="仿宋"/>
                <w:color w:val="000000"/>
                <w:sz w:val="21"/>
                <w:szCs w:val="21"/>
              </w:rPr>
            </w:pPr>
            <w:r>
              <w:rPr>
                <w:rFonts w:eastAsia="仿宋"/>
                <w:color w:val="000000"/>
                <w:sz w:val="21"/>
                <w:szCs w:val="21"/>
              </w:rPr>
              <w:drawing>
                <wp:inline distT="0" distB="0" distL="114300" distR="114300">
                  <wp:extent cx="2879725" cy="1800225"/>
                  <wp:effectExtent l="0" t="0" r="15875" b="9525"/>
                  <wp:docPr id="12" name="图片 7" descr="c4035d3095872db566369eb5af8e436"/>
                  <wp:cNvGraphicFramePr/>
                  <a:graphic xmlns:a="http://schemas.openxmlformats.org/drawingml/2006/main">
                    <a:graphicData uri="http://schemas.openxmlformats.org/drawingml/2006/picture">
                      <pic:pic xmlns:pic="http://schemas.openxmlformats.org/drawingml/2006/picture">
                        <pic:nvPicPr>
                          <pic:cNvPr id="12" name="图片 7" descr="c4035d3095872db566369eb5af8e436"/>
                          <pic:cNvPicPr/>
                        </pic:nvPicPr>
                        <pic:blipFill>
                          <a:blip r:embed="rId52"/>
                          <a:srcRect b="16029"/>
                          <a:stretch>
                            <a:fillRect/>
                          </a:stretch>
                        </pic:blipFill>
                        <pic:spPr>
                          <a:xfrm>
                            <a:off x="0" y="0"/>
                            <a:ext cx="2879725" cy="1800225"/>
                          </a:xfrm>
                          <a:prstGeom prst="rect">
                            <a:avLst/>
                          </a:prstGeom>
                          <a:noFill/>
                          <a:ln>
                            <a:noFill/>
                          </a:ln>
                        </pic:spPr>
                      </pic:pic>
                    </a:graphicData>
                  </a:graphic>
                </wp:inline>
              </w:drawing>
            </w:r>
          </w:p>
        </w:tc>
      </w:tr>
      <w:tr w14:paraId="5B16F1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25" w:type="dxa"/>
            <w:tcBorders>
              <w:tl2br w:val="nil"/>
              <w:tr2bl w:val="nil"/>
            </w:tcBorders>
            <w:vAlign w:val="top"/>
          </w:tcPr>
          <w:p w14:paraId="112A8D2B">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eastAsia="仿宋"/>
                <w:color w:val="000000"/>
                <w:sz w:val="21"/>
                <w:szCs w:val="21"/>
              </w:rPr>
            </w:pPr>
            <w:r>
              <w:rPr>
                <w:rFonts w:ascii="仿宋" w:hAnsi="仿宋" w:eastAsia="仿宋"/>
                <w:color w:val="000000"/>
                <w:sz w:val="21"/>
                <w:szCs w:val="21"/>
              </w:rPr>
              <w:drawing>
                <wp:inline distT="0" distB="0" distL="114300" distR="114300">
                  <wp:extent cx="2879725" cy="1800225"/>
                  <wp:effectExtent l="0" t="0" r="15875" b="9525"/>
                  <wp:docPr id="19" name="图片 11" descr="1678583244232"/>
                  <wp:cNvGraphicFramePr/>
                  <a:graphic xmlns:a="http://schemas.openxmlformats.org/drawingml/2006/main">
                    <a:graphicData uri="http://schemas.openxmlformats.org/drawingml/2006/picture">
                      <pic:pic xmlns:pic="http://schemas.openxmlformats.org/drawingml/2006/picture">
                        <pic:nvPicPr>
                          <pic:cNvPr id="19" name="图片 11" descr="1678583244232"/>
                          <pic:cNvPicPr/>
                        </pic:nvPicPr>
                        <pic:blipFill>
                          <a:blip r:embed="rId53"/>
                          <a:srcRect t="8716"/>
                          <a:stretch>
                            <a:fillRect/>
                          </a:stretch>
                        </pic:blipFill>
                        <pic:spPr>
                          <a:xfrm>
                            <a:off x="0" y="0"/>
                            <a:ext cx="2879725" cy="1800225"/>
                          </a:xfrm>
                          <a:prstGeom prst="rect">
                            <a:avLst/>
                          </a:prstGeom>
                          <a:noFill/>
                          <a:ln>
                            <a:noFill/>
                          </a:ln>
                        </pic:spPr>
                      </pic:pic>
                    </a:graphicData>
                  </a:graphic>
                </wp:inline>
              </w:drawing>
            </w:r>
          </w:p>
        </w:tc>
        <w:tc>
          <w:tcPr>
            <w:tcW w:w="4489" w:type="dxa"/>
            <w:tcBorders>
              <w:tl2br w:val="nil"/>
              <w:tr2bl w:val="nil"/>
            </w:tcBorders>
            <w:vAlign w:val="top"/>
          </w:tcPr>
          <w:p w14:paraId="072590B7">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eastAsia="仿宋"/>
                <w:color w:val="000000"/>
                <w:sz w:val="21"/>
                <w:szCs w:val="21"/>
              </w:rPr>
            </w:pPr>
            <w:r>
              <w:drawing>
                <wp:inline distT="0" distB="0" distL="114300" distR="114300">
                  <wp:extent cx="2879725" cy="1800225"/>
                  <wp:effectExtent l="0" t="0" r="15875" b="9525"/>
                  <wp:docPr id="35" name="图片 26"/>
                  <wp:cNvGraphicFramePr/>
                  <a:graphic xmlns:a="http://schemas.openxmlformats.org/drawingml/2006/main">
                    <a:graphicData uri="http://schemas.openxmlformats.org/drawingml/2006/picture">
                      <pic:pic xmlns:pic="http://schemas.openxmlformats.org/drawingml/2006/picture">
                        <pic:nvPicPr>
                          <pic:cNvPr id="35" name="图片 26"/>
                          <pic:cNvPicPr/>
                        </pic:nvPicPr>
                        <pic:blipFill>
                          <a:blip r:embed="rId54"/>
                          <a:srcRect l="15408" t="11296" r="4046" b="17376"/>
                          <a:stretch>
                            <a:fillRect/>
                          </a:stretch>
                        </pic:blipFill>
                        <pic:spPr>
                          <a:xfrm>
                            <a:off x="0" y="0"/>
                            <a:ext cx="2879725" cy="1800225"/>
                          </a:xfrm>
                          <a:prstGeom prst="rect">
                            <a:avLst/>
                          </a:prstGeom>
                          <a:noFill/>
                          <a:ln>
                            <a:noFill/>
                          </a:ln>
                        </pic:spPr>
                      </pic:pic>
                    </a:graphicData>
                  </a:graphic>
                </wp:inline>
              </w:drawing>
            </w:r>
          </w:p>
        </w:tc>
      </w:tr>
      <w:tr w14:paraId="28D14E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25" w:type="dxa"/>
            <w:tcBorders>
              <w:tl2br w:val="nil"/>
              <w:tr2bl w:val="nil"/>
            </w:tcBorders>
            <w:vAlign w:val="top"/>
          </w:tcPr>
          <w:p w14:paraId="09865654">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ascii="仿宋" w:hAnsi="仿宋" w:eastAsia="仿宋"/>
                <w:color w:val="000000"/>
                <w:sz w:val="21"/>
                <w:szCs w:val="21"/>
              </w:rPr>
            </w:pPr>
            <w:r>
              <w:rPr>
                <w:rFonts w:ascii="仿宋" w:hAnsi="仿宋" w:eastAsia="仿宋"/>
                <w:b/>
                <w:color w:val="000000"/>
                <w:sz w:val="21"/>
                <w:szCs w:val="21"/>
              </w:rPr>
              <w:drawing>
                <wp:inline distT="0" distB="0" distL="114300" distR="114300">
                  <wp:extent cx="2879725" cy="1800225"/>
                  <wp:effectExtent l="0" t="0" r="15875" b="9525"/>
                  <wp:docPr id="27" name="图片 18" descr="街道边的轨道上行驶&#10;&#10;中度可信度描述已自动生成"/>
                  <wp:cNvGraphicFramePr/>
                  <a:graphic xmlns:a="http://schemas.openxmlformats.org/drawingml/2006/main">
                    <a:graphicData uri="http://schemas.openxmlformats.org/drawingml/2006/picture">
                      <pic:pic xmlns:pic="http://schemas.openxmlformats.org/drawingml/2006/picture">
                        <pic:nvPicPr>
                          <pic:cNvPr id="27" name="图片 18" descr="街道边的轨道上行驶&#10;&#10;中度可信度描述已自动生成"/>
                          <pic:cNvPicPr/>
                        </pic:nvPicPr>
                        <pic:blipFill>
                          <a:blip r:embed="rId55"/>
                          <a:srcRect l="26283" r="6163" b="25575"/>
                          <a:stretch>
                            <a:fillRect/>
                          </a:stretch>
                        </pic:blipFill>
                        <pic:spPr>
                          <a:xfrm>
                            <a:off x="0" y="0"/>
                            <a:ext cx="2879725" cy="1800225"/>
                          </a:xfrm>
                          <a:prstGeom prst="rect">
                            <a:avLst/>
                          </a:prstGeom>
                          <a:noFill/>
                          <a:ln>
                            <a:noFill/>
                          </a:ln>
                        </pic:spPr>
                      </pic:pic>
                    </a:graphicData>
                  </a:graphic>
                </wp:inline>
              </w:drawing>
            </w:r>
          </w:p>
        </w:tc>
        <w:tc>
          <w:tcPr>
            <w:tcW w:w="4489" w:type="dxa"/>
            <w:tcBorders>
              <w:tl2br w:val="nil"/>
              <w:tr2bl w:val="nil"/>
            </w:tcBorders>
            <w:vAlign w:val="top"/>
          </w:tcPr>
          <w:p w14:paraId="5CE76A7D">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ascii="仿宋" w:hAnsi="仿宋" w:eastAsia="仿宋"/>
                <w:color w:val="000000"/>
                <w:sz w:val="21"/>
                <w:szCs w:val="21"/>
              </w:rPr>
            </w:pPr>
            <w:r>
              <w:rPr>
                <w:rFonts w:eastAsia="仿宋"/>
                <w:color w:val="000000"/>
                <w:sz w:val="21"/>
                <w:szCs w:val="21"/>
              </w:rPr>
              <w:drawing>
                <wp:inline distT="0" distB="0" distL="114300" distR="114300">
                  <wp:extent cx="2879725" cy="1800225"/>
                  <wp:effectExtent l="0" t="0" r="15875" b="9525"/>
                  <wp:docPr id="29" name="图片 20"/>
                  <wp:cNvGraphicFramePr/>
                  <a:graphic xmlns:a="http://schemas.openxmlformats.org/drawingml/2006/main">
                    <a:graphicData uri="http://schemas.openxmlformats.org/drawingml/2006/picture">
                      <pic:pic xmlns:pic="http://schemas.openxmlformats.org/drawingml/2006/picture">
                        <pic:nvPicPr>
                          <pic:cNvPr id="29" name="图片 20"/>
                          <pic:cNvPicPr/>
                        </pic:nvPicPr>
                        <pic:blipFill>
                          <a:blip r:embed="rId56"/>
                          <a:srcRect b="7281"/>
                          <a:stretch>
                            <a:fillRect/>
                          </a:stretch>
                        </pic:blipFill>
                        <pic:spPr>
                          <a:xfrm>
                            <a:off x="0" y="0"/>
                            <a:ext cx="2879725" cy="1800225"/>
                          </a:xfrm>
                          <a:prstGeom prst="rect">
                            <a:avLst/>
                          </a:prstGeom>
                          <a:noFill/>
                          <a:ln>
                            <a:noFill/>
                          </a:ln>
                        </pic:spPr>
                      </pic:pic>
                    </a:graphicData>
                  </a:graphic>
                </wp:inline>
              </w:drawing>
            </w:r>
          </w:p>
        </w:tc>
      </w:tr>
      <w:tr w14:paraId="615679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25" w:type="dxa"/>
            <w:tcBorders>
              <w:tl2br w:val="nil"/>
              <w:tr2bl w:val="nil"/>
            </w:tcBorders>
            <w:vAlign w:val="top"/>
          </w:tcPr>
          <w:p w14:paraId="4569563B">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ascii="仿宋" w:hAnsi="仿宋" w:eastAsia="仿宋"/>
                <w:color w:val="000000"/>
                <w:sz w:val="21"/>
                <w:szCs w:val="21"/>
              </w:rPr>
            </w:pPr>
            <w:r>
              <w:rPr>
                <w:rFonts w:ascii="仿宋" w:hAnsi="仿宋" w:eastAsia="仿宋"/>
                <w:color w:val="000000"/>
                <w:sz w:val="21"/>
                <w:szCs w:val="21"/>
              </w:rPr>
              <w:drawing>
                <wp:inline distT="0" distB="0" distL="114300" distR="114300">
                  <wp:extent cx="2879725" cy="1800225"/>
                  <wp:effectExtent l="0" t="0" r="15875" b="9525"/>
                  <wp:docPr id="24" name="图片 15"/>
                  <wp:cNvGraphicFramePr/>
                  <a:graphic xmlns:a="http://schemas.openxmlformats.org/drawingml/2006/main">
                    <a:graphicData uri="http://schemas.openxmlformats.org/drawingml/2006/picture">
                      <pic:pic xmlns:pic="http://schemas.openxmlformats.org/drawingml/2006/picture">
                        <pic:nvPicPr>
                          <pic:cNvPr id="24" name="图片 15"/>
                          <pic:cNvPicPr/>
                        </pic:nvPicPr>
                        <pic:blipFill>
                          <a:blip r:embed="rId57"/>
                          <a:srcRect l="12685" r="25049"/>
                          <a:stretch>
                            <a:fillRect/>
                          </a:stretch>
                        </pic:blipFill>
                        <pic:spPr>
                          <a:xfrm>
                            <a:off x="0" y="0"/>
                            <a:ext cx="2879725" cy="1800225"/>
                          </a:xfrm>
                          <a:prstGeom prst="rect">
                            <a:avLst/>
                          </a:prstGeom>
                          <a:noFill/>
                          <a:ln>
                            <a:noFill/>
                          </a:ln>
                        </pic:spPr>
                      </pic:pic>
                    </a:graphicData>
                  </a:graphic>
                </wp:inline>
              </w:drawing>
            </w:r>
          </w:p>
        </w:tc>
        <w:tc>
          <w:tcPr>
            <w:tcW w:w="4489" w:type="dxa"/>
            <w:tcBorders>
              <w:tl2br w:val="nil"/>
              <w:tr2bl w:val="nil"/>
            </w:tcBorders>
            <w:vAlign w:val="top"/>
          </w:tcPr>
          <w:p w14:paraId="5CA6F3E1">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ascii="仿宋" w:hAnsi="仿宋" w:eastAsia="仿宋"/>
                <w:color w:val="000000"/>
                <w:sz w:val="21"/>
                <w:szCs w:val="21"/>
              </w:rPr>
            </w:pPr>
            <w:r>
              <w:rPr>
                <w:rFonts w:eastAsia="仿宋"/>
                <w:color w:val="000000"/>
                <w:sz w:val="21"/>
                <w:szCs w:val="21"/>
              </w:rPr>
              <w:drawing>
                <wp:inline distT="0" distB="0" distL="114300" distR="114300">
                  <wp:extent cx="2879725" cy="1800225"/>
                  <wp:effectExtent l="0" t="0" r="15875" b="9525"/>
                  <wp:docPr id="33" name="图片 24"/>
                  <wp:cNvGraphicFramePr/>
                  <a:graphic xmlns:a="http://schemas.openxmlformats.org/drawingml/2006/main">
                    <a:graphicData uri="http://schemas.openxmlformats.org/drawingml/2006/picture">
                      <pic:pic xmlns:pic="http://schemas.openxmlformats.org/drawingml/2006/picture">
                        <pic:nvPicPr>
                          <pic:cNvPr id="33" name="图片 24"/>
                          <pic:cNvPicPr/>
                        </pic:nvPicPr>
                        <pic:blipFill>
                          <a:blip r:embed="rId58"/>
                          <a:srcRect l="24258"/>
                          <a:stretch>
                            <a:fillRect/>
                          </a:stretch>
                        </pic:blipFill>
                        <pic:spPr>
                          <a:xfrm>
                            <a:off x="0" y="0"/>
                            <a:ext cx="2879725" cy="1800225"/>
                          </a:xfrm>
                          <a:prstGeom prst="rect">
                            <a:avLst/>
                          </a:prstGeom>
                          <a:noFill/>
                          <a:ln>
                            <a:noFill/>
                          </a:ln>
                        </pic:spPr>
                      </pic:pic>
                    </a:graphicData>
                  </a:graphic>
                </wp:inline>
              </w:drawing>
            </w:r>
          </w:p>
        </w:tc>
      </w:tr>
      <w:tr w14:paraId="388156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25" w:type="dxa"/>
            <w:tcBorders>
              <w:tl2br w:val="nil"/>
              <w:tr2bl w:val="nil"/>
            </w:tcBorders>
            <w:vAlign w:val="top"/>
          </w:tcPr>
          <w:p w14:paraId="0F2EC2BC">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hint="default" w:ascii="Times New Roman" w:hAnsi="Times New Roman" w:cs="Times New Roman"/>
                <w:vertAlign w:val="baseline"/>
                <w:lang w:val="en-US" w:eastAsia="zh-CN"/>
              </w:rPr>
            </w:pPr>
            <w:r>
              <w:rPr>
                <w:rFonts w:eastAsia="宋体"/>
                <w:color w:val="000000"/>
              </w:rPr>
              <w:drawing>
                <wp:inline distT="0" distB="0" distL="114300" distR="114300">
                  <wp:extent cx="2879725" cy="1800225"/>
                  <wp:effectExtent l="0" t="0" r="15875" b="9525"/>
                  <wp:docPr id="52" name="图片 43"/>
                  <wp:cNvGraphicFramePr/>
                  <a:graphic xmlns:a="http://schemas.openxmlformats.org/drawingml/2006/main">
                    <a:graphicData uri="http://schemas.openxmlformats.org/drawingml/2006/picture">
                      <pic:pic xmlns:pic="http://schemas.openxmlformats.org/drawingml/2006/picture">
                        <pic:nvPicPr>
                          <pic:cNvPr id="52" name="图片 43"/>
                          <pic:cNvPicPr/>
                        </pic:nvPicPr>
                        <pic:blipFill>
                          <a:blip r:embed="rId59"/>
                          <a:srcRect t="17349"/>
                          <a:stretch>
                            <a:fillRect/>
                          </a:stretch>
                        </pic:blipFill>
                        <pic:spPr>
                          <a:xfrm>
                            <a:off x="0" y="0"/>
                            <a:ext cx="2879725" cy="1800225"/>
                          </a:xfrm>
                          <a:prstGeom prst="rect">
                            <a:avLst/>
                          </a:prstGeom>
                          <a:noFill/>
                          <a:ln>
                            <a:noFill/>
                          </a:ln>
                        </pic:spPr>
                      </pic:pic>
                    </a:graphicData>
                  </a:graphic>
                </wp:inline>
              </w:drawing>
            </w:r>
          </w:p>
        </w:tc>
        <w:tc>
          <w:tcPr>
            <w:tcW w:w="4489" w:type="dxa"/>
            <w:tcBorders>
              <w:tl2br w:val="nil"/>
              <w:tr2bl w:val="nil"/>
            </w:tcBorders>
            <w:vAlign w:val="top"/>
          </w:tcPr>
          <w:p w14:paraId="4AF1CBF6">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hint="default" w:ascii="Times New Roman" w:hAnsi="Times New Roman" w:cs="Times New Roman"/>
                <w:vertAlign w:val="baseline"/>
                <w:lang w:val="en-US" w:eastAsia="zh-CN"/>
              </w:rPr>
            </w:pPr>
            <w:r>
              <w:rPr>
                <w:color w:val="000000"/>
              </w:rPr>
              <w:drawing>
                <wp:inline distT="0" distB="0" distL="114300" distR="114300">
                  <wp:extent cx="2879725" cy="1800225"/>
                  <wp:effectExtent l="0" t="0" r="15875" b="9525"/>
                  <wp:docPr id="53" name="图片 44" descr="图片"/>
                  <wp:cNvGraphicFramePr/>
                  <a:graphic xmlns:a="http://schemas.openxmlformats.org/drawingml/2006/main">
                    <a:graphicData uri="http://schemas.openxmlformats.org/drawingml/2006/picture">
                      <pic:pic xmlns:pic="http://schemas.openxmlformats.org/drawingml/2006/picture">
                        <pic:nvPicPr>
                          <pic:cNvPr id="53" name="图片 44" descr="图片"/>
                          <pic:cNvPicPr/>
                        </pic:nvPicPr>
                        <pic:blipFill>
                          <a:blip r:embed="rId60"/>
                          <a:srcRect l="6773" t="7645"/>
                          <a:stretch>
                            <a:fillRect/>
                          </a:stretch>
                        </pic:blipFill>
                        <pic:spPr>
                          <a:xfrm>
                            <a:off x="0" y="0"/>
                            <a:ext cx="2879725" cy="1800225"/>
                          </a:xfrm>
                          <a:prstGeom prst="rect">
                            <a:avLst/>
                          </a:prstGeom>
                          <a:noFill/>
                          <a:ln>
                            <a:noFill/>
                          </a:ln>
                        </pic:spPr>
                      </pic:pic>
                    </a:graphicData>
                  </a:graphic>
                </wp:inline>
              </w:drawing>
            </w:r>
          </w:p>
        </w:tc>
      </w:tr>
      <w:tr w14:paraId="79CE72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25" w:type="dxa"/>
            <w:tcBorders>
              <w:tl2br w:val="nil"/>
              <w:tr2bl w:val="nil"/>
            </w:tcBorders>
            <w:vAlign w:val="top"/>
          </w:tcPr>
          <w:p w14:paraId="789D15C3">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hint="default" w:ascii="Times New Roman" w:hAnsi="Times New Roman" w:cs="Times New Roman"/>
                <w:vertAlign w:val="baseline"/>
                <w:lang w:val="en-US" w:eastAsia="zh-CN"/>
              </w:rPr>
            </w:pPr>
            <w:r>
              <w:drawing>
                <wp:inline distT="0" distB="0" distL="114300" distR="114300">
                  <wp:extent cx="2879725" cy="1800225"/>
                  <wp:effectExtent l="0" t="0" r="15875" b="9525"/>
                  <wp:docPr id="42" name="图片 33"/>
                  <wp:cNvGraphicFramePr/>
                  <a:graphic xmlns:a="http://schemas.openxmlformats.org/drawingml/2006/main">
                    <a:graphicData uri="http://schemas.openxmlformats.org/drawingml/2006/picture">
                      <pic:pic xmlns:pic="http://schemas.openxmlformats.org/drawingml/2006/picture">
                        <pic:nvPicPr>
                          <pic:cNvPr id="42" name="图片 33"/>
                          <pic:cNvPicPr/>
                        </pic:nvPicPr>
                        <pic:blipFill>
                          <a:blip r:embed="rId61"/>
                          <a:srcRect r="7721"/>
                          <a:stretch>
                            <a:fillRect/>
                          </a:stretch>
                        </pic:blipFill>
                        <pic:spPr>
                          <a:xfrm>
                            <a:off x="0" y="0"/>
                            <a:ext cx="2879725" cy="1800225"/>
                          </a:xfrm>
                          <a:prstGeom prst="rect">
                            <a:avLst/>
                          </a:prstGeom>
                          <a:noFill/>
                          <a:ln>
                            <a:noFill/>
                          </a:ln>
                        </pic:spPr>
                      </pic:pic>
                    </a:graphicData>
                  </a:graphic>
                </wp:inline>
              </w:drawing>
            </w:r>
          </w:p>
        </w:tc>
        <w:tc>
          <w:tcPr>
            <w:tcW w:w="4489" w:type="dxa"/>
            <w:tcBorders>
              <w:tl2br w:val="nil"/>
              <w:tr2bl w:val="nil"/>
            </w:tcBorders>
            <w:vAlign w:val="top"/>
          </w:tcPr>
          <w:p w14:paraId="2A672C81">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hint="default" w:ascii="Times New Roman" w:hAnsi="Times New Roman" w:cs="Times New Roman"/>
                <w:vertAlign w:val="baseline"/>
                <w:lang w:val="en-US" w:eastAsia="zh-CN"/>
              </w:rPr>
            </w:pPr>
            <w:r>
              <w:drawing>
                <wp:inline distT="0" distB="0" distL="114300" distR="114300">
                  <wp:extent cx="2879725" cy="1800225"/>
                  <wp:effectExtent l="0" t="0" r="15875" b="9525"/>
                  <wp:docPr id="37" name="图片 28"/>
                  <wp:cNvGraphicFramePr/>
                  <a:graphic xmlns:a="http://schemas.openxmlformats.org/drawingml/2006/main">
                    <a:graphicData uri="http://schemas.openxmlformats.org/drawingml/2006/picture">
                      <pic:pic xmlns:pic="http://schemas.openxmlformats.org/drawingml/2006/picture">
                        <pic:nvPicPr>
                          <pic:cNvPr id="37" name="图片 28"/>
                          <pic:cNvPicPr/>
                        </pic:nvPicPr>
                        <pic:blipFill>
                          <a:blip r:embed="rId62"/>
                          <a:srcRect b="16625"/>
                          <a:stretch>
                            <a:fillRect/>
                          </a:stretch>
                        </pic:blipFill>
                        <pic:spPr>
                          <a:xfrm>
                            <a:off x="0" y="0"/>
                            <a:ext cx="2879725" cy="1800225"/>
                          </a:xfrm>
                          <a:prstGeom prst="rect">
                            <a:avLst/>
                          </a:prstGeom>
                          <a:noFill/>
                          <a:ln>
                            <a:noFill/>
                          </a:ln>
                        </pic:spPr>
                      </pic:pic>
                    </a:graphicData>
                  </a:graphic>
                </wp:inline>
              </w:drawing>
            </w:r>
          </w:p>
        </w:tc>
      </w:tr>
      <w:tr w14:paraId="29BE85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25" w:type="dxa"/>
            <w:tcBorders>
              <w:tl2br w:val="nil"/>
              <w:tr2bl w:val="nil"/>
            </w:tcBorders>
            <w:vAlign w:val="top"/>
          </w:tcPr>
          <w:p w14:paraId="5C92E2DE">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pPr>
            <w:r>
              <w:rPr>
                <w:rFonts w:eastAsia="仿宋"/>
                <w:color w:val="000000"/>
              </w:rPr>
              <w:drawing>
                <wp:inline distT="0" distB="0" distL="114300" distR="114300">
                  <wp:extent cx="2879725" cy="1800225"/>
                  <wp:effectExtent l="0" t="0" r="15875" b="9525"/>
                  <wp:docPr id="50" name="图片 41"/>
                  <wp:cNvGraphicFramePr/>
                  <a:graphic xmlns:a="http://schemas.openxmlformats.org/drawingml/2006/main">
                    <a:graphicData uri="http://schemas.openxmlformats.org/drawingml/2006/picture">
                      <pic:pic xmlns:pic="http://schemas.openxmlformats.org/drawingml/2006/picture">
                        <pic:nvPicPr>
                          <pic:cNvPr id="50" name="图片 41"/>
                          <pic:cNvPicPr/>
                        </pic:nvPicPr>
                        <pic:blipFill>
                          <a:blip r:embed="rId63"/>
                          <a:srcRect t="19934"/>
                          <a:stretch>
                            <a:fillRect/>
                          </a:stretch>
                        </pic:blipFill>
                        <pic:spPr>
                          <a:xfrm>
                            <a:off x="0" y="0"/>
                            <a:ext cx="2879725" cy="1800225"/>
                          </a:xfrm>
                          <a:prstGeom prst="rect">
                            <a:avLst/>
                          </a:prstGeom>
                          <a:noFill/>
                          <a:ln>
                            <a:noFill/>
                          </a:ln>
                        </pic:spPr>
                      </pic:pic>
                    </a:graphicData>
                  </a:graphic>
                </wp:inline>
              </w:drawing>
            </w:r>
          </w:p>
        </w:tc>
        <w:tc>
          <w:tcPr>
            <w:tcW w:w="4489" w:type="dxa"/>
            <w:tcBorders>
              <w:tl2br w:val="nil"/>
              <w:tr2bl w:val="nil"/>
            </w:tcBorders>
            <w:vAlign w:val="top"/>
          </w:tcPr>
          <w:p w14:paraId="414C3748">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pPr>
            <w:r>
              <w:rPr>
                <w:rStyle w:val="17"/>
                <w:rFonts w:eastAsia="仿宋"/>
                <w:b/>
                <w:bCs/>
                <w:color w:val="000000"/>
              </w:rPr>
              <w:drawing>
                <wp:inline distT="0" distB="0" distL="114300" distR="114300">
                  <wp:extent cx="2879725" cy="1800225"/>
                  <wp:effectExtent l="0" t="0" r="15875" b="9525"/>
                  <wp:docPr id="51" name="图片 42"/>
                  <wp:cNvGraphicFramePr/>
                  <a:graphic xmlns:a="http://schemas.openxmlformats.org/drawingml/2006/main">
                    <a:graphicData uri="http://schemas.openxmlformats.org/drawingml/2006/picture">
                      <pic:pic xmlns:pic="http://schemas.openxmlformats.org/drawingml/2006/picture">
                        <pic:nvPicPr>
                          <pic:cNvPr id="51" name="图片 42"/>
                          <pic:cNvPicPr/>
                        </pic:nvPicPr>
                        <pic:blipFill>
                          <a:blip r:embed="rId64"/>
                          <a:srcRect r="4864"/>
                          <a:stretch>
                            <a:fillRect/>
                          </a:stretch>
                        </pic:blipFill>
                        <pic:spPr>
                          <a:xfrm>
                            <a:off x="0" y="0"/>
                            <a:ext cx="2879725" cy="1800225"/>
                          </a:xfrm>
                          <a:prstGeom prst="rect">
                            <a:avLst/>
                          </a:prstGeom>
                          <a:noFill/>
                          <a:ln>
                            <a:noFill/>
                          </a:ln>
                        </pic:spPr>
                      </pic:pic>
                    </a:graphicData>
                  </a:graphic>
                </wp:inline>
              </w:drawing>
            </w:r>
          </w:p>
        </w:tc>
      </w:tr>
      <w:tr w14:paraId="1BD962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25" w:type="dxa"/>
            <w:tcBorders>
              <w:tl2br w:val="nil"/>
              <w:tr2bl w:val="nil"/>
            </w:tcBorders>
            <w:vAlign w:val="top"/>
          </w:tcPr>
          <w:p w14:paraId="215E0C11">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hint="default" w:ascii="Times New Roman" w:hAnsi="Times New Roman" w:cs="Times New Roman"/>
                <w:vertAlign w:val="baseline"/>
                <w:lang w:val="en-US" w:eastAsia="zh-CN"/>
              </w:rPr>
            </w:pPr>
            <w:r>
              <w:rPr>
                <w:rFonts w:eastAsia="仿宋"/>
                <w:color w:val="000000"/>
                <w:sz w:val="18"/>
                <w:szCs w:val="18"/>
              </w:rPr>
              <w:drawing>
                <wp:inline distT="0" distB="0" distL="114300" distR="114300">
                  <wp:extent cx="2879725" cy="1800225"/>
                  <wp:effectExtent l="0" t="0" r="15875" b="9525"/>
                  <wp:docPr id="66" name="图片 55" descr="d:\Users\jihl\Documents\WeChat Files\wxid_5828308281711\FileStorage\Temp\1725348927062.png"/>
                  <wp:cNvGraphicFramePr/>
                  <a:graphic xmlns:a="http://schemas.openxmlformats.org/drawingml/2006/main">
                    <a:graphicData uri="http://schemas.openxmlformats.org/drawingml/2006/picture">
                      <pic:pic xmlns:pic="http://schemas.openxmlformats.org/drawingml/2006/picture">
                        <pic:nvPicPr>
                          <pic:cNvPr id="66" name="图片 55" descr="d:\Users\jihl\Documents\WeChat Files\wxid_5828308281711\FileStorage\Temp\1725348927062.png"/>
                          <pic:cNvPicPr/>
                        </pic:nvPicPr>
                        <pic:blipFill>
                          <a:blip r:embed="rId65"/>
                          <a:srcRect r="8169" b="40061"/>
                          <a:stretch>
                            <a:fillRect/>
                          </a:stretch>
                        </pic:blipFill>
                        <pic:spPr>
                          <a:xfrm>
                            <a:off x="0" y="0"/>
                            <a:ext cx="2879725" cy="1800225"/>
                          </a:xfrm>
                          <a:prstGeom prst="rect">
                            <a:avLst/>
                          </a:prstGeom>
                          <a:noFill/>
                          <a:ln>
                            <a:noFill/>
                          </a:ln>
                        </pic:spPr>
                      </pic:pic>
                    </a:graphicData>
                  </a:graphic>
                </wp:inline>
              </w:drawing>
            </w:r>
          </w:p>
        </w:tc>
        <w:tc>
          <w:tcPr>
            <w:tcW w:w="4489" w:type="dxa"/>
            <w:tcBorders>
              <w:tl2br w:val="nil"/>
              <w:tr2bl w:val="nil"/>
            </w:tcBorders>
            <w:vAlign w:val="top"/>
          </w:tcPr>
          <w:p w14:paraId="5FD52DCF">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hint="default" w:ascii="Times New Roman" w:hAnsi="Times New Roman" w:cs="Times New Roman"/>
                <w:vertAlign w:val="baseline"/>
                <w:lang w:val="en-US" w:eastAsia="zh-CN"/>
              </w:rPr>
            </w:pPr>
            <w:r>
              <w:rPr>
                <w:rFonts w:ascii="仿宋" w:hAnsi="仿宋" w:eastAsia="仿宋"/>
                <w:color w:val="000000"/>
                <w:sz w:val="21"/>
                <w:szCs w:val="21"/>
              </w:rPr>
              <w:drawing>
                <wp:inline distT="0" distB="0" distL="114300" distR="114300">
                  <wp:extent cx="2879725" cy="1800225"/>
                  <wp:effectExtent l="0" t="0" r="15875" b="9525"/>
                  <wp:docPr id="34" name="图片 25"/>
                  <wp:cNvGraphicFramePr/>
                  <a:graphic xmlns:a="http://schemas.openxmlformats.org/drawingml/2006/main">
                    <a:graphicData uri="http://schemas.openxmlformats.org/drawingml/2006/picture">
                      <pic:pic xmlns:pic="http://schemas.openxmlformats.org/drawingml/2006/picture">
                        <pic:nvPicPr>
                          <pic:cNvPr id="34" name="图片 25"/>
                          <pic:cNvPicPr/>
                        </pic:nvPicPr>
                        <pic:blipFill>
                          <a:blip r:embed="rId66"/>
                          <a:srcRect l="11977" r="18343"/>
                          <a:stretch>
                            <a:fillRect/>
                          </a:stretch>
                        </pic:blipFill>
                        <pic:spPr>
                          <a:xfrm>
                            <a:off x="0" y="0"/>
                            <a:ext cx="2879725" cy="1800225"/>
                          </a:xfrm>
                          <a:prstGeom prst="rect">
                            <a:avLst/>
                          </a:prstGeom>
                          <a:noFill/>
                          <a:ln>
                            <a:noFill/>
                          </a:ln>
                        </pic:spPr>
                      </pic:pic>
                    </a:graphicData>
                  </a:graphic>
                </wp:inline>
              </w:drawing>
            </w:r>
          </w:p>
        </w:tc>
      </w:tr>
      <w:tr w14:paraId="454C20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25" w:type="dxa"/>
            <w:tcBorders>
              <w:tl2br w:val="nil"/>
              <w:tr2bl w:val="nil"/>
            </w:tcBorders>
            <w:vAlign w:val="top"/>
          </w:tcPr>
          <w:p w14:paraId="4DA9BEB3">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hint="eastAsia" w:eastAsia="仿宋"/>
                <w:color w:val="000000"/>
                <w:sz w:val="18"/>
                <w:szCs w:val="18"/>
                <w:lang w:eastAsia="zh-CN"/>
              </w:rPr>
            </w:pPr>
            <w:r>
              <w:rPr>
                <w:rFonts w:hint="eastAsia" w:eastAsia="仿宋"/>
                <w:color w:val="000000"/>
                <w:sz w:val="18"/>
                <w:szCs w:val="18"/>
                <w:lang w:eastAsia="zh-CN"/>
              </w:rPr>
              <w:drawing>
                <wp:inline distT="0" distB="0" distL="114300" distR="114300">
                  <wp:extent cx="2879725" cy="1800225"/>
                  <wp:effectExtent l="0" t="0" r="15875" b="9525"/>
                  <wp:docPr id="67" name="图片 67" descr="1746692156720"/>
                  <wp:cNvGraphicFramePr/>
                  <a:graphic xmlns:a="http://schemas.openxmlformats.org/drawingml/2006/main">
                    <a:graphicData uri="http://schemas.openxmlformats.org/drawingml/2006/picture">
                      <pic:pic xmlns:pic="http://schemas.openxmlformats.org/drawingml/2006/picture">
                        <pic:nvPicPr>
                          <pic:cNvPr id="67" name="图片 67" descr="1746692156720"/>
                          <pic:cNvPicPr/>
                        </pic:nvPicPr>
                        <pic:blipFill>
                          <a:blip r:embed="rId67"/>
                          <a:stretch>
                            <a:fillRect/>
                          </a:stretch>
                        </pic:blipFill>
                        <pic:spPr>
                          <a:xfrm>
                            <a:off x="0" y="0"/>
                            <a:ext cx="2879725" cy="1800225"/>
                          </a:xfrm>
                          <a:prstGeom prst="rect">
                            <a:avLst/>
                          </a:prstGeom>
                        </pic:spPr>
                      </pic:pic>
                    </a:graphicData>
                  </a:graphic>
                </wp:inline>
              </w:drawing>
            </w:r>
          </w:p>
        </w:tc>
        <w:tc>
          <w:tcPr>
            <w:tcW w:w="4489" w:type="dxa"/>
            <w:tcBorders>
              <w:tl2br w:val="nil"/>
              <w:tr2bl w:val="nil"/>
            </w:tcBorders>
            <w:vAlign w:val="top"/>
          </w:tcPr>
          <w:p w14:paraId="45368200">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ascii="仿宋" w:hAnsi="仿宋" w:eastAsia="仿宋"/>
                <w:color w:val="000000"/>
                <w:sz w:val="21"/>
                <w:szCs w:val="21"/>
              </w:rPr>
            </w:pPr>
            <w:r>
              <w:rPr>
                <w:rFonts w:eastAsia="仿宋"/>
                <w:color w:val="000000"/>
                <w:sz w:val="18"/>
                <w:szCs w:val="18"/>
              </w:rPr>
              <w:drawing>
                <wp:inline distT="0" distB="0" distL="114300" distR="114300">
                  <wp:extent cx="2879725" cy="1800225"/>
                  <wp:effectExtent l="0" t="0" r="15875" b="9525"/>
                  <wp:docPr id="68" name="图片 56" descr="d:\Users\jihl\Documents\WeChat Files\wxid_5828308281711\FileStorage\Temp\1725349005173.png"/>
                  <wp:cNvGraphicFramePr/>
                  <a:graphic xmlns:a="http://schemas.openxmlformats.org/drawingml/2006/main">
                    <a:graphicData uri="http://schemas.openxmlformats.org/drawingml/2006/picture">
                      <pic:pic xmlns:pic="http://schemas.openxmlformats.org/drawingml/2006/picture">
                        <pic:nvPicPr>
                          <pic:cNvPr id="68" name="图片 56" descr="d:\Users\jihl\Documents\WeChat Files\wxid_5828308281711\FileStorage\Temp\1725349005173.png"/>
                          <pic:cNvPicPr/>
                        </pic:nvPicPr>
                        <pic:blipFill>
                          <a:blip r:embed="rId68"/>
                          <a:srcRect t="15771"/>
                          <a:stretch>
                            <a:fillRect/>
                          </a:stretch>
                        </pic:blipFill>
                        <pic:spPr>
                          <a:xfrm>
                            <a:off x="0" y="0"/>
                            <a:ext cx="2879725" cy="1800225"/>
                          </a:xfrm>
                          <a:prstGeom prst="rect">
                            <a:avLst/>
                          </a:prstGeom>
                          <a:noFill/>
                          <a:ln>
                            <a:noFill/>
                          </a:ln>
                        </pic:spPr>
                      </pic:pic>
                    </a:graphicData>
                  </a:graphic>
                </wp:inline>
              </w:drawing>
            </w:r>
          </w:p>
        </w:tc>
      </w:tr>
      <w:tr w14:paraId="1822E9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25" w:type="dxa"/>
            <w:tcBorders>
              <w:tl2br w:val="nil"/>
              <w:tr2bl w:val="nil"/>
            </w:tcBorders>
            <w:vAlign w:val="top"/>
          </w:tcPr>
          <w:p w14:paraId="6202514D">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color w:val="000000"/>
              </w:rPr>
            </w:pPr>
            <w:r>
              <w:rPr>
                <w:color w:val="000000"/>
              </w:rPr>
              <w:drawing>
                <wp:inline distT="0" distB="0" distL="114300" distR="114300">
                  <wp:extent cx="2879725" cy="1800225"/>
                  <wp:effectExtent l="0" t="0" r="15875" b="9525"/>
                  <wp:docPr id="63" name="图片 53" descr="d:\Users\jihl\Documents\WeChat Files\wxid_5828308281711\FileStorage\Temp\1720685193422.png"/>
                  <wp:cNvGraphicFramePr/>
                  <a:graphic xmlns:a="http://schemas.openxmlformats.org/drawingml/2006/main">
                    <a:graphicData uri="http://schemas.openxmlformats.org/drawingml/2006/picture">
                      <pic:pic xmlns:pic="http://schemas.openxmlformats.org/drawingml/2006/picture">
                        <pic:nvPicPr>
                          <pic:cNvPr id="63" name="图片 53" descr="d:\Users\jihl\Documents\WeChat Files\wxid_5828308281711\FileStorage\Temp\1720685193422.png"/>
                          <pic:cNvPicPr/>
                        </pic:nvPicPr>
                        <pic:blipFill>
                          <a:blip r:embed="rId69"/>
                          <a:srcRect l="8403"/>
                          <a:stretch>
                            <a:fillRect/>
                          </a:stretch>
                        </pic:blipFill>
                        <pic:spPr>
                          <a:xfrm>
                            <a:off x="0" y="0"/>
                            <a:ext cx="2879725" cy="1800225"/>
                          </a:xfrm>
                          <a:prstGeom prst="rect">
                            <a:avLst/>
                          </a:prstGeom>
                          <a:noFill/>
                          <a:ln>
                            <a:noFill/>
                          </a:ln>
                        </pic:spPr>
                      </pic:pic>
                    </a:graphicData>
                  </a:graphic>
                </wp:inline>
              </w:drawing>
            </w:r>
          </w:p>
        </w:tc>
        <w:tc>
          <w:tcPr>
            <w:tcW w:w="4489" w:type="dxa"/>
            <w:tcBorders>
              <w:tl2br w:val="nil"/>
              <w:tr2bl w:val="nil"/>
            </w:tcBorders>
            <w:vAlign w:val="top"/>
          </w:tcPr>
          <w:p w14:paraId="0FA8EAE3">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ascii="仿宋" w:hAnsi="仿宋" w:eastAsia="仿宋"/>
                <w:color w:val="000000"/>
                <w:sz w:val="21"/>
                <w:szCs w:val="21"/>
              </w:rPr>
            </w:pPr>
            <w:r>
              <w:rPr>
                <w:color w:val="000000"/>
              </w:rPr>
              <w:drawing>
                <wp:inline distT="0" distB="0" distL="114300" distR="114300">
                  <wp:extent cx="2879725" cy="1800225"/>
                  <wp:effectExtent l="0" t="0" r="15875" b="9525"/>
                  <wp:docPr id="65" name="图片 54"/>
                  <wp:cNvGraphicFramePr/>
                  <a:graphic xmlns:a="http://schemas.openxmlformats.org/drawingml/2006/main">
                    <a:graphicData uri="http://schemas.openxmlformats.org/drawingml/2006/picture">
                      <pic:pic xmlns:pic="http://schemas.openxmlformats.org/drawingml/2006/picture">
                        <pic:nvPicPr>
                          <pic:cNvPr id="65" name="图片 54"/>
                          <pic:cNvPicPr/>
                        </pic:nvPicPr>
                        <pic:blipFill>
                          <a:blip r:embed="rId70"/>
                          <a:stretch>
                            <a:fillRect/>
                          </a:stretch>
                        </pic:blipFill>
                        <pic:spPr>
                          <a:xfrm>
                            <a:off x="0" y="0"/>
                            <a:ext cx="2879725" cy="1800225"/>
                          </a:xfrm>
                          <a:prstGeom prst="rect">
                            <a:avLst/>
                          </a:prstGeom>
                          <a:noFill/>
                          <a:ln>
                            <a:noFill/>
                          </a:ln>
                        </pic:spPr>
                      </pic:pic>
                    </a:graphicData>
                  </a:graphic>
                </wp:inline>
              </w:drawing>
            </w:r>
          </w:p>
        </w:tc>
      </w:tr>
      <w:tr w14:paraId="4F9351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25" w:type="dxa"/>
            <w:tcBorders>
              <w:tl2br w:val="nil"/>
              <w:tr2bl w:val="nil"/>
            </w:tcBorders>
            <w:vAlign w:val="top"/>
          </w:tcPr>
          <w:p w14:paraId="3B633AB4">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hint="default" w:ascii="Times New Roman" w:hAnsi="Times New Roman" w:cs="Times New Roman"/>
                <w:vertAlign w:val="baseline"/>
                <w:lang w:val="en-US" w:eastAsia="zh-CN"/>
              </w:rPr>
            </w:pPr>
            <w:r>
              <w:rPr>
                <w:rFonts w:eastAsia="宋体"/>
                <w:b/>
                <w:color w:val="000000"/>
                <w:sz w:val="21"/>
                <w:szCs w:val="20"/>
              </w:rPr>
              <w:drawing>
                <wp:inline distT="0" distB="0" distL="114300" distR="114300">
                  <wp:extent cx="2879725" cy="1800225"/>
                  <wp:effectExtent l="0" t="0" r="15875" b="9525"/>
                  <wp:docPr id="54" name="图片 45" descr="94acd3f68e72551a90d600ca71c738c"/>
                  <wp:cNvGraphicFramePr/>
                  <a:graphic xmlns:a="http://schemas.openxmlformats.org/drawingml/2006/main">
                    <a:graphicData uri="http://schemas.openxmlformats.org/drawingml/2006/picture">
                      <pic:pic xmlns:pic="http://schemas.openxmlformats.org/drawingml/2006/picture">
                        <pic:nvPicPr>
                          <pic:cNvPr id="54" name="图片 45" descr="94acd3f68e72551a90d600ca71c738c"/>
                          <pic:cNvPicPr/>
                        </pic:nvPicPr>
                        <pic:blipFill>
                          <a:blip r:embed="rId71"/>
                          <a:stretch>
                            <a:fillRect/>
                          </a:stretch>
                        </pic:blipFill>
                        <pic:spPr>
                          <a:xfrm>
                            <a:off x="0" y="0"/>
                            <a:ext cx="2879725" cy="1800225"/>
                          </a:xfrm>
                          <a:prstGeom prst="rect">
                            <a:avLst/>
                          </a:prstGeom>
                          <a:noFill/>
                          <a:ln>
                            <a:noFill/>
                          </a:ln>
                        </pic:spPr>
                      </pic:pic>
                    </a:graphicData>
                  </a:graphic>
                </wp:inline>
              </w:drawing>
            </w:r>
          </w:p>
        </w:tc>
        <w:tc>
          <w:tcPr>
            <w:tcW w:w="4489" w:type="dxa"/>
            <w:tcBorders>
              <w:tl2br w:val="nil"/>
              <w:tr2bl w:val="nil"/>
            </w:tcBorders>
            <w:vAlign w:val="top"/>
          </w:tcPr>
          <w:p w14:paraId="48BADF22">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hint="default" w:ascii="Times New Roman" w:hAnsi="Times New Roman" w:cs="Times New Roman"/>
                <w:vertAlign w:val="baseline"/>
                <w:lang w:val="en-US" w:eastAsia="zh-CN"/>
              </w:rPr>
            </w:pPr>
            <w:r>
              <w:rPr>
                <w:rFonts w:eastAsia="宋体"/>
                <w:color w:val="000000"/>
              </w:rPr>
              <w:drawing>
                <wp:inline distT="0" distB="0" distL="114300" distR="114300">
                  <wp:extent cx="2879725" cy="1800225"/>
                  <wp:effectExtent l="0" t="0" r="15875" b="9525"/>
                  <wp:docPr id="55" name="图片 46" descr="d:\Users\jihl\Documents\WeChat Files\wxid_5828308281711\FileStorage\Temp\1717488215552.png"/>
                  <wp:cNvGraphicFramePr/>
                  <a:graphic xmlns:a="http://schemas.openxmlformats.org/drawingml/2006/main">
                    <a:graphicData uri="http://schemas.openxmlformats.org/drawingml/2006/picture">
                      <pic:pic xmlns:pic="http://schemas.openxmlformats.org/drawingml/2006/picture">
                        <pic:nvPicPr>
                          <pic:cNvPr id="55" name="图片 46" descr="d:\Users\jihl\Documents\WeChat Files\wxid_5828308281711\FileStorage\Temp\1717488215552.png"/>
                          <pic:cNvPicPr/>
                        </pic:nvPicPr>
                        <pic:blipFill>
                          <a:blip r:embed="rId72"/>
                          <a:stretch>
                            <a:fillRect/>
                          </a:stretch>
                        </pic:blipFill>
                        <pic:spPr>
                          <a:xfrm>
                            <a:off x="0" y="0"/>
                            <a:ext cx="2879725" cy="1800225"/>
                          </a:xfrm>
                          <a:prstGeom prst="rect">
                            <a:avLst/>
                          </a:prstGeom>
                          <a:noFill/>
                          <a:ln>
                            <a:noFill/>
                          </a:ln>
                        </pic:spPr>
                      </pic:pic>
                    </a:graphicData>
                  </a:graphic>
                </wp:inline>
              </w:drawing>
            </w:r>
          </w:p>
        </w:tc>
      </w:tr>
      <w:tr w14:paraId="12D80A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25" w:type="dxa"/>
            <w:tcBorders>
              <w:tl2br w:val="nil"/>
              <w:tr2bl w:val="nil"/>
            </w:tcBorders>
            <w:vAlign w:val="top"/>
          </w:tcPr>
          <w:p w14:paraId="5AD58605">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hint="default" w:ascii="Times New Roman" w:hAnsi="Times New Roman" w:cs="Times New Roman"/>
                <w:vertAlign w:val="baseline"/>
                <w:lang w:val="en-US" w:eastAsia="zh-CN"/>
              </w:rPr>
            </w:pPr>
            <w:r>
              <w:rPr>
                <w:rFonts w:eastAsia="仿宋"/>
                <w:b/>
                <w:color w:val="000000"/>
              </w:rPr>
              <w:drawing>
                <wp:inline distT="0" distB="0" distL="114300" distR="114300">
                  <wp:extent cx="2879725" cy="1800225"/>
                  <wp:effectExtent l="0" t="0" r="15875" b="9525"/>
                  <wp:docPr id="60" name="图片 51"/>
                  <wp:cNvGraphicFramePr/>
                  <a:graphic xmlns:a="http://schemas.openxmlformats.org/drawingml/2006/main">
                    <a:graphicData uri="http://schemas.openxmlformats.org/drawingml/2006/picture">
                      <pic:pic xmlns:pic="http://schemas.openxmlformats.org/drawingml/2006/picture">
                        <pic:nvPicPr>
                          <pic:cNvPr id="60" name="图片 51"/>
                          <pic:cNvPicPr/>
                        </pic:nvPicPr>
                        <pic:blipFill>
                          <a:blip r:embed="rId73"/>
                          <a:stretch>
                            <a:fillRect/>
                          </a:stretch>
                        </pic:blipFill>
                        <pic:spPr>
                          <a:xfrm>
                            <a:off x="0" y="0"/>
                            <a:ext cx="2879725" cy="1800225"/>
                          </a:xfrm>
                          <a:prstGeom prst="rect">
                            <a:avLst/>
                          </a:prstGeom>
                          <a:noFill/>
                          <a:ln>
                            <a:noFill/>
                          </a:ln>
                        </pic:spPr>
                      </pic:pic>
                    </a:graphicData>
                  </a:graphic>
                </wp:inline>
              </w:drawing>
            </w:r>
          </w:p>
        </w:tc>
        <w:tc>
          <w:tcPr>
            <w:tcW w:w="4489" w:type="dxa"/>
            <w:tcBorders>
              <w:tl2br w:val="nil"/>
              <w:tr2bl w:val="nil"/>
            </w:tcBorders>
            <w:vAlign w:val="top"/>
          </w:tcPr>
          <w:p w14:paraId="71436881">
            <w:pPr>
              <w:pStyle w:val="6"/>
              <w:keepNext w:val="0"/>
              <w:keepLines w:val="0"/>
              <w:pageBreakBefore w:val="0"/>
              <w:widowControl w:val="0"/>
              <w:kinsoku/>
              <w:wordWrap/>
              <w:overflowPunct/>
              <w:topLinePunct w:val="0"/>
              <w:autoSpaceDE w:val="0"/>
              <w:autoSpaceDN w:val="0"/>
              <w:bidi w:val="0"/>
              <w:adjustRightInd/>
              <w:snapToGrid/>
              <w:spacing w:line="360" w:lineRule="auto"/>
              <w:ind w:right="629"/>
              <w:jc w:val="both"/>
              <w:textAlignment w:val="auto"/>
              <w:rPr>
                <w:rFonts w:hint="default" w:ascii="Times New Roman" w:hAnsi="Times New Roman" w:cs="Times New Roman"/>
                <w:vertAlign w:val="baseline"/>
                <w:lang w:val="en-US" w:eastAsia="zh-CN"/>
              </w:rPr>
            </w:pPr>
            <w:r>
              <w:rPr>
                <w:rFonts w:eastAsia="仿宋"/>
                <w:b/>
                <w:color w:val="000000"/>
              </w:rPr>
              <w:drawing>
                <wp:inline distT="0" distB="0" distL="114300" distR="114300">
                  <wp:extent cx="2879725" cy="1800225"/>
                  <wp:effectExtent l="0" t="0" r="15875" b="9525"/>
                  <wp:docPr id="62" name="图片 52"/>
                  <wp:cNvGraphicFramePr/>
                  <a:graphic xmlns:a="http://schemas.openxmlformats.org/drawingml/2006/main">
                    <a:graphicData uri="http://schemas.openxmlformats.org/drawingml/2006/picture">
                      <pic:pic xmlns:pic="http://schemas.openxmlformats.org/drawingml/2006/picture">
                        <pic:nvPicPr>
                          <pic:cNvPr id="62" name="图片 52"/>
                          <pic:cNvPicPr/>
                        </pic:nvPicPr>
                        <pic:blipFill>
                          <a:blip r:embed="rId74"/>
                          <a:stretch>
                            <a:fillRect/>
                          </a:stretch>
                        </pic:blipFill>
                        <pic:spPr>
                          <a:xfrm>
                            <a:off x="0" y="0"/>
                            <a:ext cx="2879725" cy="1800225"/>
                          </a:xfrm>
                          <a:prstGeom prst="rect">
                            <a:avLst/>
                          </a:prstGeom>
                          <a:noFill/>
                          <a:ln>
                            <a:noFill/>
                          </a:ln>
                        </pic:spPr>
                      </pic:pic>
                    </a:graphicData>
                  </a:graphic>
                </wp:inline>
              </w:drawing>
            </w:r>
          </w:p>
        </w:tc>
      </w:tr>
    </w:tbl>
    <w:p w14:paraId="38A5B656">
      <w:pPr>
        <w:pStyle w:val="6"/>
        <w:spacing w:line="362" w:lineRule="auto"/>
        <w:ind w:left="609" w:right="632" w:firstLine="480"/>
        <w:jc w:val="center"/>
        <w:rPr>
          <w:rFonts w:hint="default" w:ascii="Times New Roman" w:hAnsi="Times New Roman" w:cs="Times New Roman"/>
          <w:lang w:val="en-US" w:eastAsia="zh-CN"/>
        </w:rPr>
      </w:pPr>
      <w:r>
        <w:rPr>
          <w:rFonts w:hint="eastAsia" w:ascii="Times New Roman" w:hAnsi="Times New Roman" w:cs="Times New Roman"/>
          <w:lang w:val="en-US" w:eastAsia="zh-CN"/>
        </w:rPr>
        <w:t>图4-1 干散货港口颗粒物污染防控配套设施建设情况</w:t>
      </w:r>
    </w:p>
    <w:p w14:paraId="121AE9FB">
      <w:pPr>
        <w:pStyle w:val="6"/>
        <w:keepNext w:val="0"/>
        <w:keepLines w:val="0"/>
        <w:pageBreakBefore w:val="0"/>
        <w:widowControl w:val="0"/>
        <w:kinsoku/>
        <w:wordWrap/>
        <w:overflowPunct/>
        <w:topLinePunct w:val="0"/>
        <w:autoSpaceDE w:val="0"/>
        <w:autoSpaceDN w:val="0"/>
        <w:bidi w:val="0"/>
        <w:adjustRightInd/>
        <w:snapToGrid/>
        <w:spacing w:line="360" w:lineRule="auto"/>
        <w:ind w:left="607" w:right="629" w:firstLine="482"/>
        <w:jc w:val="both"/>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通过对沿海及内河干散货港口企业的全面调研，发现干散货港口在颗粒物污染防治方面存在的普遍问题主要包括以下几方面：</w:t>
      </w:r>
    </w:p>
    <w:p w14:paraId="27E4B52A">
      <w:pPr>
        <w:pStyle w:val="6"/>
        <w:keepNext w:val="0"/>
        <w:keepLines w:val="0"/>
        <w:pageBreakBefore w:val="0"/>
        <w:widowControl w:val="0"/>
        <w:kinsoku/>
        <w:wordWrap/>
        <w:overflowPunct/>
        <w:topLinePunct w:val="0"/>
        <w:autoSpaceDE w:val="0"/>
        <w:autoSpaceDN w:val="0"/>
        <w:bidi w:val="0"/>
        <w:adjustRightInd/>
        <w:snapToGrid/>
        <w:spacing w:line="360" w:lineRule="auto"/>
        <w:ind w:left="607" w:right="629" w:firstLine="482"/>
        <w:jc w:val="both"/>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（1）企业管理机制导致环境保护事项执行效果存在较大差距</w:t>
      </w:r>
    </w:p>
    <w:p w14:paraId="7405CA3D">
      <w:pPr>
        <w:pStyle w:val="6"/>
        <w:keepNext w:val="0"/>
        <w:keepLines w:val="0"/>
        <w:pageBreakBefore w:val="0"/>
        <w:widowControl w:val="0"/>
        <w:kinsoku/>
        <w:wordWrap/>
        <w:overflowPunct/>
        <w:topLinePunct w:val="0"/>
        <w:autoSpaceDE w:val="0"/>
        <w:autoSpaceDN w:val="0"/>
        <w:bidi w:val="0"/>
        <w:adjustRightInd/>
        <w:snapToGrid/>
        <w:spacing w:line="360" w:lineRule="auto"/>
        <w:ind w:left="607" w:right="629" w:firstLine="482"/>
        <w:jc w:val="both"/>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部分规模较小的内河散货港口企业管理制度及管理体系不完善；环保投入不足，缺乏规范的环境保护措施，环保基础条件差，环保设备更新维护难；环保管理水平低，部分管理人员不具备相应的环保知识和技能，环保知识培训教育不到位，环保意识相对较差；环保规章制度落实不到位，部分企业未按监测频次及指标要求开展自行监测，不能及时发现并消除环境污染隐患。</w:t>
      </w:r>
    </w:p>
    <w:p w14:paraId="063AA00E">
      <w:pPr>
        <w:pStyle w:val="6"/>
        <w:keepNext w:val="0"/>
        <w:keepLines w:val="0"/>
        <w:pageBreakBefore w:val="0"/>
        <w:widowControl w:val="0"/>
        <w:kinsoku/>
        <w:wordWrap/>
        <w:overflowPunct/>
        <w:topLinePunct w:val="0"/>
        <w:autoSpaceDE w:val="0"/>
        <w:autoSpaceDN w:val="0"/>
        <w:bidi w:val="0"/>
        <w:adjustRightInd/>
        <w:snapToGrid/>
        <w:spacing w:line="360" w:lineRule="auto"/>
        <w:ind w:left="607" w:right="629" w:firstLine="482"/>
        <w:jc w:val="both"/>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（2）部分企业以被动施策为主，环保工作碎片化实施</w:t>
      </w:r>
    </w:p>
    <w:p w14:paraId="160ED17F">
      <w:pPr>
        <w:pStyle w:val="6"/>
        <w:keepNext w:val="0"/>
        <w:keepLines w:val="0"/>
        <w:pageBreakBefore w:val="0"/>
        <w:widowControl w:val="0"/>
        <w:kinsoku/>
        <w:wordWrap/>
        <w:overflowPunct/>
        <w:topLinePunct w:val="0"/>
        <w:autoSpaceDE w:val="0"/>
        <w:autoSpaceDN w:val="0"/>
        <w:bidi w:val="0"/>
        <w:adjustRightInd/>
        <w:snapToGrid/>
        <w:spacing w:line="360" w:lineRule="auto"/>
        <w:ind w:left="607" w:right="629" w:firstLine="482"/>
        <w:jc w:val="both"/>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通过本次调研，我们发现部分港口企业依然存在被动施策为主，主观意识与能动性较差，环保工作开展碎片化，日常环境管理工作缺乏系统性和计划性。如部分中小型企业环保投资计划及投资明细，上级管理部门下达要求才会被动采购，没有主动优化的意向和理念；部分企业环保体系文件不完整或过于简化，环保管理要求运行及维护污染防治设施管理制度文件仅一两页纸，只可用于应付检查，实际操作过程中基本不具有可参考价值，等等。虽然此类不会直接造成环境问题及污染物超标排放，但从企业环境管理工作合规性来说属于严重漏洞，亟需改进和优化。</w:t>
      </w:r>
    </w:p>
    <w:p w14:paraId="26C6646E">
      <w:pPr>
        <w:pStyle w:val="6"/>
        <w:keepNext w:val="0"/>
        <w:keepLines w:val="0"/>
        <w:pageBreakBefore w:val="0"/>
        <w:widowControl w:val="0"/>
        <w:numPr>
          <w:ilvl w:val="0"/>
          <w:numId w:val="2"/>
        </w:numPr>
        <w:kinsoku/>
        <w:wordWrap/>
        <w:overflowPunct/>
        <w:topLinePunct w:val="0"/>
        <w:autoSpaceDE w:val="0"/>
        <w:autoSpaceDN w:val="0"/>
        <w:bidi w:val="0"/>
        <w:adjustRightInd/>
        <w:snapToGrid/>
        <w:spacing w:line="360" w:lineRule="auto"/>
        <w:ind w:left="607" w:right="629" w:firstLine="482"/>
        <w:jc w:val="both"/>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环保措施配备不完善，抑尘效果难以保证</w:t>
      </w:r>
    </w:p>
    <w:p w14:paraId="5F447EEC">
      <w:pPr>
        <w:pStyle w:val="6"/>
        <w:spacing w:line="362" w:lineRule="auto"/>
        <w:ind w:left="609" w:right="632" w:firstLine="480"/>
        <w:jc w:val="left"/>
        <w:rPr>
          <w:rFonts w:hint="eastAsia" w:ascii="Times New Roman" w:hAnsi="Times New Roman" w:cs="Times New Roman"/>
          <w:lang w:val="en-US" w:eastAsia="zh-CN"/>
        </w:rPr>
      </w:pPr>
      <w:r>
        <w:rPr>
          <w:rFonts w:hint="eastAsia" w:ascii="Times New Roman" w:hAnsi="Times New Roman" w:cs="Times New Roman"/>
          <w:lang w:val="en-US" w:eastAsia="zh-CN"/>
        </w:rPr>
        <w:t>本次调研发现，大部分干散货港口企业虽然针对港区颗粒物污染采取了一定的防控及治理措施，但普遍存在措施配套不完善、环境管理工作精细化程度低的问题。如，针对露天堆场，大部分企业均已建设防风抑尘网，但部分企业未按要求配套建设喷淋洒水设施，或针对短期不作业散货堆垛未采取苫盖或喷洒抑尘剂等覆盖措施，导致散货在堆场堆取料作业及静态堆存过程的颗粒物污染难以得到有效控制，容易造成堆场区域及整个港区的颗粒物污染超标。</w:t>
      </w:r>
    </w:p>
    <w:p w14:paraId="6179AF81">
      <w:pPr>
        <w:pStyle w:val="6"/>
        <w:spacing w:line="362" w:lineRule="auto"/>
        <w:ind w:left="609" w:right="632" w:firstLine="480"/>
        <w:jc w:val="left"/>
        <w:rPr>
          <w:rFonts w:hint="default" w:ascii="Times New Roman" w:hAnsi="Times New Roman" w:cs="Times New Roman"/>
          <w:lang w:val="en-US" w:eastAsia="zh-CN"/>
        </w:rPr>
      </w:pPr>
      <w:r>
        <w:rPr>
          <w:rFonts w:hint="eastAsia" w:ascii="Times New Roman" w:hAnsi="Times New Roman" w:cs="Times New Roman"/>
          <w:lang w:val="en-US" w:eastAsia="zh-CN"/>
        </w:rPr>
        <w:t>本次调研中，项目组通过实地勘查、现场座谈等方式，深入了解了干散货港口码头装卸、输运及堆存等各环节的颗粒物污染现状，掌握了颗粒物污染管控措施现状水平与不足等一手资料。这些调研成果为《干散货港口颗粒物精细化管控技术规范》编制提供了详实的数据支撑与实践依据，有助于提升规范的科学性与可操作性。</w:t>
      </w:r>
    </w:p>
    <w:p w14:paraId="14449E27">
      <w:pPr>
        <w:pStyle w:val="2"/>
        <w:spacing w:before="240" w:afterLines="50"/>
        <w:ind w:left="607"/>
        <w:rPr>
          <w:rFonts w:ascii="Times New Roman" w:hAnsi="Times New Roman" w:eastAsia="黑体" w:cs="Times New Roman"/>
          <w:spacing w:val="-2"/>
          <w:sz w:val="28"/>
          <w:szCs w:val="28"/>
          <w:lang w:eastAsia="zh-CN"/>
        </w:rPr>
      </w:pPr>
      <w:bookmarkStart w:id="3" w:name="9.第九章_防范措施与应急方案"/>
      <w:bookmarkEnd w:id="3"/>
      <w:bookmarkStart w:id="4" w:name="三、主要试验（或验证）的分析、综述报告，技术经济论证，预期的经济效果"/>
      <w:bookmarkEnd w:id="4"/>
      <w:bookmarkStart w:id="5" w:name="_bookmark2"/>
      <w:bookmarkEnd w:id="5"/>
      <w:bookmarkStart w:id="6" w:name="_bookmark3"/>
      <w:bookmarkEnd w:id="6"/>
      <w:bookmarkStart w:id="7" w:name="四、采用国际标准和国外先进标准的程度，以及与国际、国外同类标准水平的对比情况，或"/>
      <w:bookmarkEnd w:id="7"/>
      <w:bookmarkStart w:id="8" w:name="_Toc31521"/>
      <w:r>
        <w:rPr>
          <w:rFonts w:ascii="Times New Roman" w:hAnsi="Times New Roman" w:eastAsia="黑体" w:cs="Times New Roman"/>
          <w:spacing w:val="-2"/>
          <w:sz w:val="28"/>
          <w:szCs w:val="28"/>
          <w:lang w:eastAsia="zh-CN"/>
        </w:rPr>
        <w:t>四、国内外相关法律、法规和标准情况的说明</w:t>
      </w:r>
      <w:bookmarkEnd w:id="8"/>
    </w:p>
    <w:p w14:paraId="44251C64">
      <w:pPr>
        <w:pStyle w:val="6"/>
        <w:keepNext w:val="0"/>
        <w:keepLines w:val="0"/>
        <w:pageBreakBefore w:val="0"/>
        <w:widowControl w:val="0"/>
        <w:kinsoku/>
        <w:wordWrap/>
        <w:overflowPunct/>
        <w:topLinePunct w:val="0"/>
        <w:autoSpaceDE w:val="0"/>
        <w:autoSpaceDN w:val="0"/>
        <w:bidi w:val="0"/>
        <w:adjustRightInd/>
        <w:snapToGrid/>
        <w:spacing w:line="360" w:lineRule="auto"/>
        <w:ind w:left="607" w:right="629" w:firstLine="482"/>
        <w:jc w:val="both"/>
        <w:textAlignment w:val="auto"/>
        <w:rPr>
          <w:rFonts w:ascii="Times New Roman" w:hAnsi="Times New Roman" w:cs="Times New Roman"/>
          <w:lang w:eastAsia="zh-CN"/>
        </w:rPr>
      </w:pPr>
      <w:r>
        <w:rPr>
          <w:rFonts w:hint="eastAsia" w:ascii="Times New Roman" w:hAnsi="Times New Roman" w:cs="Times New Roman"/>
          <w:lang w:eastAsia="zh-CN"/>
        </w:rPr>
        <w:t>在全球高度重视环境保护、大力推进绿色发展的当下，干散货</w:t>
      </w:r>
      <w:r>
        <w:rPr>
          <w:rFonts w:hint="eastAsia" w:ascii="Times New Roman" w:hAnsi="Times New Roman" w:cs="Times New Roman"/>
          <w:lang w:val="en-US" w:eastAsia="zh-CN"/>
        </w:rPr>
        <w:t>港口</w:t>
      </w:r>
      <w:r>
        <w:rPr>
          <w:rFonts w:hint="eastAsia" w:ascii="Times New Roman" w:hAnsi="Times New Roman" w:cs="Times New Roman"/>
          <w:lang w:eastAsia="zh-CN"/>
        </w:rPr>
        <w:t>颗粒物污染管控已成为国内外环保工作的关键环节。相关法律、法规和标准体系不断健全，对颗粒物污染管控提出了</w:t>
      </w:r>
      <w:r>
        <w:rPr>
          <w:rFonts w:hint="eastAsia" w:ascii="Times New Roman" w:hAnsi="Times New Roman" w:cs="Times New Roman"/>
          <w:lang w:val="en-US" w:eastAsia="zh-CN"/>
        </w:rPr>
        <w:t>相关</w:t>
      </w:r>
      <w:r>
        <w:rPr>
          <w:rFonts w:hint="eastAsia" w:ascii="Times New Roman" w:hAnsi="Times New Roman" w:cs="Times New Roman"/>
          <w:lang w:eastAsia="zh-CN"/>
        </w:rPr>
        <w:t>要求。</w:t>
      </w:r>
    </w:p>
    <w:p w14:paraId="22A0A2B5">
      <w:pPr>
        <w:pStyle w:val="6"/>
        <w:keepNext w:val="0"/>
        <w:keepLines w:val="0"/>
        <w:pageBreakBefore w:val="0"/>
        <w:widowControl w:val="0"/>
        <w:kinsoku/>
        <w:wordWrap/>
        <w:overflowPunct/>
        <w:topLinePunct w:val="0"/>
        <w:autoSpaceDE w:val="0"/>
        <w:autoSpaceDN w:val="0"/>
        <w:bidi w:val="0"/>
        <w:adjustRightInd/>
        <w:snapToGrid/>
        <w:spacing w:line="360" w:lineRule="auto"/>
        <w:ind w:left="607" w:right="629" w:firstLine="482"/>
        <w:jc w:val="both"/>
        <w:textAlignment w:val="auto"/>
        <w:rPr>
          <w:rFonts w:hint="eastAsia" w:ascii="Times New Roman" w:hAnsi="Times New Roman" w:cs="Times New Roman"/>
          <w:lang w:eastAsia="zh-CN"/>
        </w:rPr>
      </w:pPr>
      <w:r>
        <w:rPr>
          <w:rFonts w:hint="eastAsia" w:ascii="Times New Roman" w:hAnsi="Times New Roman" w:cs="Times New Roman"/>
          <w:lang w:val="en-US" w:eastAsia="zh-CN"/>
        </w:rPr>
        <w:t>美国对港口等场所的大气污染物排放有严格的监管，EPA制定了一系列标准和规定，包括对颗粒物排放的限值要求，以及针对不同类型码头和作业的颗粒物控制措施指南等，干散货港口需遵守相关规定以确保达标排放。</w:t>
      </w:r>
      <w:r>
        <w:rPr>
          <w:rFonts w:hint="eastAsia" w:ascii="Times New Roman" w:hAnsi="Times New Roman" w:cs="Times New Roman"/>
          <w:lang w:eastAsia="zh-CN"/>
        </w:rPr>
        <w:t>欧盟</w:t>
      </w:r>
      <w:r>
        <w:rPr>
          <w:rFonts w:hint="eastAsia" w:ascii="Times New Roman" w:hAnsi="Times New Roman" w:cs="Times New Roman"/>
          <w:lang w:val="en-US" w:eastAsia="zh-CN"/>
        </w:rPr>
        <w:t>发布有</w:t>
      </w:r>
      <w:r>
        <w:rPr>
          <w:rFonts w:hint="eastAsia" w:ascii="Times New Roman" w:hAnsi="Times New Roman" w:cs="Times New Roman"/>
          <w:lang w:eastAsia="zh-CN"/>
        </w:rPr>
        <w:t>关于大气环境保护的一系列指令和标准，对港口干散货</w:t>
      </w:r>
      <w:r>
        <w:rPr>
          <w:rFonts w:hint="eastAsia" w:ascii="Times New Roman" w:hAnsi="Times New Roman" w:cs="Times New Roman"/>
          <w:lang w:val="en-US" w:eastAsia="zh-CN"/>
        </w:rPr>
        <w:t>港口</w:t>
      </w:r>
      <w:r>
        <w:rPr>
          <w:rFonts w:hint="eastAsia" w:ascii="Times New Roman" w:hAnsi="Times New Roman" w:cs="Times New Roman"/>
          <w:lang w:eastAsia="zh-CN"/>
        </w:rPr>
        <w:t>颗粒物污染管控方面，要求采用先进的技术和管理措施来减少颗粒物排放，例如对装卸设备的粉尘控制技术要求、堆场的覆盖和抑尘措施等都有明确规定，以满足欧盟整体的环境质量目标。</w:t>
      </w:r>
    </w:p>
    <w:p w14:paraId="710E2115">
      <w:pPr>
        <w:pStyle w:val="6"/>
        <w:keepNext w:val="0"/>
        <w:keepLines w:val="0"/>
        <w:pageBreakBefore w:val="0"/>
        <w:widowControl w:val="0"/>
        <w:kinsoku/>
        <w:wordWrap/>
        <w:overflowPunct/>
        <w:topLinePunct w:val="0"/>
        <w:autoSpaceDE w:val="0"/>
        <w:autoSpaceDN w:val="0"/>
        <w:bidi w:val="0"/>
        <w:adjustRightInd/>
        <w:snapToGrid/>
        <w:spacing w:line="360" w:lineRule="auto"/>
        <w:ind w:left="607" w:right="629" w:firstLine="482"/>
        <w:jc w:val="both"/>
        <w:textAlignment w:val="auto"/>
        <w:rPr>
          <w:rFonts w:hint="eastAsia" w:ascii="Times New Roman" w:hAnsi="Times New Roman" w:cs="Times New Roman"/>
          <w:b w:val="0"/>
          <w:bCs w:val="0"/>
          <w:color w:val="000000"/>
          <w:highlight w:val="none"/>
          <w:lang w:val="en-US" w:eastAsia="zh-CN"/>
        </w:rPr>
      </w:pPr>
      <w:r>
        <w:rPr>
          <w:rFonts w:hint="eastAsia" w:ascii="Times New Roman" w:hAnsi="Times New Roman" w:cs="Times New Roman"/>
          <w:lang w:eastAsia="zh-CN"/>
        </w:rPr>
        <w:t>从2015年1月1日，新《中华人民共和国环境保护法》发布实施后，为契合污染防治攻坚，保护和改善环境，保障公众健康，推进生态文明建设，促进经济社会可持续发展，我国环境上位法律都进行了新一轮的修订，对港口行业污染物排放与环境管控提出了更高要求。</w:t>
      </w:r>
      <w:r>
        <w:rPr>
          <w:rFonts w:hint="eastAsia" w:ascii="Times New Roman" w:hAnsi="Times New Roman" w:cs="Times New Roman"/>
          <w:lang w:val="en-US" w:eastAsia="zh-CN"/>
        </w:rPr>
        <w:t>《中华人民共和国大气污染防治法》、《排污许可管理条例》、《排污许可管理办法》以及地方大气污染防治条例等</w:t>
      </w:r>
      <w:r>
        <w:rPr>
          <w:rFonts w:hint="eastAsia" w:ascii="Times New Roman" w:hAnsi="Times New Roman" w:cs="Times New Roman"/>
          <w:lang w:eastAsia="zh-CN"/>
        </w:rPr>
        <w:t>法律法规</w:t>
      </w:r>
      <w:r>
        <w:rPr>
          <w:rFonts w:hint="eastAsia" w:ascii="Times New Roman" w:hAnsi="Times New Roman" w:cs="Times New Roman"/>
          <w:lang w:val="en-US" w:eastAsia="zh-CN"/>
        </w:rPr>
        <w:t>中均包含针对</w:t>
      </w:r>
      <w:r>
        <w:rPr>
          <w:rFonts w:hint="eastAsia" w:ascii="Times New Roman" w:hAnsi="Times New Roman" w:cs="Times New Roman"/>
          <w:lang w:eastAsia="zh-CN"/>
        </w:rPr>
        <w:t>港口码头</w:t>
      </w:r>
      <w:r>
        <w:rPr>
          <w:rFonts w:hint="eastAsia" w:ascii="Times New Roman" w:hAnsi="Times New Roman" w:cs="Times New Roman"/>
          <w:lang w:val="en-US" w:eastAsia="zh-CN"/>
        </w:rPr>
        <w:t>颗粒物污染防治的</w:t>
      </w:r>
      <w:r>
        <w:rPr>
          <w:rFonts w:hint="eastAsia" w:ascii="Times New Roman" w:hAnsi="Times New Roman" w:cs="Times New Roman"/>
          <w:lang w:eastAsia="zh-CN"/>
        </w:rPr>
        <w:t>相关要求。</w:t>
      </w:r>
      <w:r>
        <w:rPr>
          <w:rFonts w:hint="eastAsia" w:ascii="Times New Roman" w:hAnsi="Times New Roman" w:cs="Times New Roman"/>
          <w:lang w:val="en-US" w:eastAsia="zh-CN"/>
        </w:rPr>
        <w:t>此外，</w:t>
      </w:r>
      <w:r>
        <w:rPr>
          <w:rFonts w:hint="default" w:ascii="Times New Roman" w:hAnsi="Times New Roman" w:cs="Times New Roman"/>
          <w:b w:val="0"/>
          <w:bCs w:val="0"/>
          <w:color w:val="000000"/>
          <w:lang w:eastAsia="zh-CN"/>
        </w:rPr>
        <w:t>《水运工程环境保护设计规范》（JTS 149）</w:t>
      </w:r>
      <w:r>
        <w:rPr>
          <w:rFonts w:hint="eastAsia" w:ascii="Times New Roman" w:hAnsi="Times New Roman" w:cs="Times New Roman"/>
          <w:b w:val="0"/>
          <w:bCs w:val="0"/>
          <w:color w:val="000000"/>
          <w:lang w:val="en-US" w:eastAsia="zh-CN"/>
        </w:rPr>
        <w:t>和</w:t>
      </w:r>
      <w:r>
        <w:rPr>
          <w:rFonts w:hint="default" w:ascii="Times New Roman" w:hAnsi="Times New Roman" w:cs="Times New Roman"/>
          <w:b w:val="0"/>
          <w:bCs w:val="0"/>
          <w:color w:val="000000"/>
          <w:highlight w:val="none"/>
          <w:lang w:eastAsia="zh-CN"/>
        </w:rPr>
        <w:t>《煤炭矿石码头粉尘控制设计规范》（JTS/T 156）</w:t>
      </w:r>
      <w:r>
        <w:rPr>
          <w:rFonts w:hint="eastAsia" w:ascii="Times New Roman" w:hAnsi="Times New Roman" w:cs="Times New Roman"/>
          <w:b w:val="0"/>
          <w:bCs w:val="0"/>
          <w:color w:val="000000"/>
          <w:highlight w:val="none"/>
          <w:lang w:val="en-US" w:eastAsia="zh-CN"/>
        </w:rPr>
        <w:t>中对煤炭、矿石等干散货港口</w:t>
      </w:r>
      <w:r>
        <w:rPr>
          <w:rFonts w:hint="eastAsia" w:ascii="Times New Roman" w:hAnsi="Times New Roman" w:cs="Times New Roman"/>
          <w:lang w:val="en-US" w:eastAsia="zh-CN"/>
        </w:rPr>
        <w:t>颗粒物</w:t>
      </w:r>
      <w:r>
        <w:rPr>
          <w:rFonts w:hint="eastAsia" w:ascii="Times New Roman" w:hAnsi="Times New Roman" w:cs="Times New Roman"/>
          <w:b w:val="0"/>
          <w:bCs w:val="0"/>
          <w:color w:val="000000"/>
          <w:highlight w:val="none"/>
          <w:lang w:val="en-US" w:eastAsia="zh-CN"/>
        </w:rPr>
        <w:t>污染控制也都提出了针对性的技术要求。</w:t>
      </w:r>
    </w:p>
    <w:p w14:paraId="21083599">
      <w:pPr>
        <w:pStyle w:val="6"/>
        <w:keepNext w:val="0"/>
        <w:keepLines w:val="0"/>
        <w:pageBreakBefore w:val="0"/>
        <w:widowControl w:val="0"/>
        <w:kinsoku/>
        <w:wordWrap/>
        <w:overflowPunct/>
        <w:topLinePunct w:val="0"/>
        <w:autoSpaceDE w:val="0"/>
        <w:autoSpaceDN w:val="0"/>
        <w:bidi w:val="0"/>
        <w:adjustRightInd/>
        <w:snapToGrid/>
        <w:spacing w:line="360" w:lineRule="auto"/>
        <w:ind w:left="607" w:right="629" w:firstLine="482"/>
        <w:jc w:val="both"/>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本标准涉及的</w:t>
      </w:r>
      <w:r>
        <w:rPr>
          <w:rFonts w:hint="eastAsia" w:ascii="Times New Roman" w:hAnsi="Times New Roman" w:cs="Times New Roman"/>
          <w:lang w:val="en-US" w:eastAsia="zh-CN"/>
        </w:rPr>
        <w:t>颗粒物</w:t>
      </w:r>
      <w:r>
        <w:rPr>
          <w:rFonts w:hint="default" w:ascii="Times New Roman" w:hAnsi="Times New Roman" w:cs="Times New Roman"/>
          <w:b w:val="0"/>
          <w:bCs w:val="0"/>
          <w:color w:val="000000"/>
          <w:highlight w:val="none"/>
          <w:lang w:val="en-US" w:eastAsia="zh-CN"/>
        </w:rPr>
        <w:t>污染管控要求使用法律法规、标准规范，详见表1。</w:t>
      </w:r>
    </w:p>
    <w:tbl>
      <w:tblPr>
        <w:tblStyle w:val="14"/>
        <w:tblW w:w="4296" w:type="pct"/>
        <w:tblInd w:w="645"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auto"/>
        <w:tblLayout w:type="autofit"/>
        <w:tblCellMar>
          <w:top w:w="0" w:type="dxa"/>
          <w:left w:w="108" w:type="dxa"/>
          <w:bottom w:w="0" w:type="dxa"/>
          <w:right w:w="108" w:type="dxa"/>
        </w:tblCellMar>
      </w:tblPr>
      <w:tblGrid>
        <w:gridCol w:w="3119"/>
        <w:gridCol w:w="5104"/>
      </w:tblGrid>
      <w:tr w14:paraId="2C795AA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47" w:hRule="atLeast"/>
        </w:trPr>
        <w:tc>
          <w:tcPr>
            <w:tcW w:w="1896" w:type="pct"/>
            <w:tcBorders>
              <w:tl2br w:val="nil"/>
              <w:tr2bl w:val="nil"/>
            </w:tcBorders>
            <w:shd w:val="clear" w:color="auto" w:fill="D7D7D7" w:themeFill="background1" w:themeFillShade="D8"/>
            <w:noWrap w:val="0"/>
            <w:vAlign w:val="center"/>
          </w:tcPr>
          <w:p w14:paraId="70343B60">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eastAsiaTheme="minorEastAsia"/>
                <w:b/>
                <w:bCs/>
                <w:color w:val="000000"/>
                <w:sz w:val="21"/>
                <w:szCs w:val="21"/>
                <w:lang w:val="en-US" w:eastAsia="zh-CN"/>
              </w:rPr>
            </w:pPr>
            <w:r>
              <w:rPr>
                <w:rFonts w:hint="default" w:ascii="Times New Roman" w:hAnsi="Times New Roman" w:cs="Times New Roman" w:eastAsiaTheme="minorEastAsia"/>
                <w:b/>
                <w:bCs/>
                <w:color w:val="000000"/>
                <w:sz w:val="21"/>
                <w:szCs w:val="21"/>
                <w:lang w:val="en-US" w:eastAsia="zh-CN"/>
              </w:rPr>
              <w:t>法律法规</w:t>
            </w:r>
          </w:p>
        </w:tc>
        <w:tc>
          <w:tcPr>
            <w:tcW w:w="3103" w:type="pct"/>
            <w:tcBorders>
              <w:tl2br w:val="nil"/>
              <w:tr2bl w:val="nil"/>
            </w:tcBorders>
            <w:shd w:val="clear" w:color="auto" w:fill="D7D7D7" w:themeFill="background1" w:themeFillShade="D8"/>
            <w:noWrap w:val="0"/>
            <w:vAlign w:val="center"/>
          </w:tcPr>
          <w:p w14:paraId="3052BADC">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cs="Times New Roman" w:eastAsiaTheme="minorEastAsia"/>
                <w:b/>
                <w:bCs/>
                <w:color w:val="000000"/>
                <w:sz w:val="21"/>
                <w:szCs w:val="21"/>
                <w:lang w:val="en-US" w:eastAsia="zh-CN"/>
              </w:rPr>
            </w:pPr>
            <w:r>
              <w:rPr>
                <w:rFonts w:hint="default" w:ascii="Times New Roman" w:hAnsi="Times New Roman" w:cs="Times New Roman" w:eastAsiaTheme="minorEastAsia"/>
                <w:b/>
                <w:bCs/>
                <w:color w:val="000000"/>
                <w:sz w:val="21"/>
                <w:szCs w:val="21"/>
                <w:lang w:val="en-US" w:eastAsia="zh-CN"/>
              </w:rPr>
              <w:t>相关内容</w:t>
            </w:r>
          </w:p>
        </w:tc>
      </w:tr>
      <w:tr w14:paraId="26DAD60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90" w:hRule="atLeast"/>
        </w:trPr>
        <w:tc>
          <w:tcPr>
            <w:tcW w:w="1896" w:type="pct"/>
            <w:tcBorders>
              <w:tl2br w:val="nil"/>
              <w:tr2bl w:val="nil"/>
            </w:tcBorders>
            <w:shd w:val="clear" w:color="auto" w:fill="auto"/>
            <w:noWrap w:val="0"/>
            <w:vAlign w:val="top"/>
          </w:tcPr>
          <w:p w14:paraId="573F7D87">
            <w:pPr>
              <w:keepNext w:val="0"/>
              <w:keepLines w:val="0"/>
              <w:pageBreakBefore w:val="0"/>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bCs/>
                <w:color w:val="000000"/>
                <w:sz w:val="21"/>
                <w:szCs w:val="21"/>
                <w:u w:val="single"/>
              </w:rPr>
            </w:pPr>
            <w:r>
              <w:rPr>
                <w:rFonts w:hint="default" w:ascii="Times New Roman" w:hAnsi="Times New Roman" w:cs="Times New Roman" w:eastAsiaTheme="minorEastAsia"/>
                <w:b/>
                <w:bCs/>
                <w:color w:val="000000"/>
                <w:sz w:val="21"/>
                <w:szCs w:val="21"/>
                <w:u w:val="single"/>
              </w:rPr>
              <w:t>《中华人民共和国大气污染防治法》</w:t>
            </w:r>
          </w:p>
          <w:p w14:paraId="27FB6C2A">
            <w:pPr>
              <w:keepNext w:val="0"/>
              <w:keepLines w:val="0"/>
              <w:pageBreakBefore w:val="0"/>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val="0"/>
                <w:bCs w:val="0"/>
                <w:color w:val="000000"/>
                <w:sz w:val="21"/>
                <w:szCs w:val="21"/>
                <w:lang w:val="en-US" w:eastAsia="en-US" w:bidi="ar-SA"/>
              </w:rPr>
            </w:pPr>
            <w:r>
              <w:rPr>
                <w:rFonts w:hint="default" w:ascii="Times New Roman" w:hAnsi="Times New Roman" w:cs="Times New Roman" w:eastAsiaTheme="minorEastAsia"/>
                <w:b w:val="0"/>
                <w:bCs w:val="0"/>
                <w:color w:val="000000"/>
                <w:sz w:val="21"/>
                <w:szCs w:val="21"/>
              </w:rPr>
              <w:t>2018年10月26日第十三届全国人民代表大会常务委员会第六次会议《关于修改〈中华人民共和国野生动物保护法〉等十五部法律的决定》第二次修正。</w:t>
            </w:r>
          </w:p>
        </w:tc>
        <w:tc>
          <w:tcPr>
            <w:tcW w:w="3103" w:type="pct"/>
            <w:tcBorders>
              <w:tl2br w:val="nil"/>
              <w:tr2bl w:val="nil"/>
            </w:tcBorders>
            <w:shd w:val="clear" w:color="auto" w:fill="auto"/>
            <w:noWrap w:val="0"/>
            <w:vAlign w:val="top"/>
          </w:tcPr>
          <w:p w14:paraId="7343C34F">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bCs/>
                <w:color w:val="000000"/>
                <w:sz w:val="21"/>
                <w:szCs w:val="21"/>
              </w:rPr>
              <w:t xml:space="preserve">第七十条 </w:t>
            </w:r>
            <w:r>
              <w:rPr>
                <w:rFonts w:hint="default" w:ascii="Times New Roman" w:hAnsi="Times New Roman" w:cs="Times New Roman" w:eastAsiaTheme="minorEastAsia"/>
                <w:b w:val="0"/>
                <w:bCs w:val="0"/>
                <w:color w:val="000000"/>
                <w:sz w:val="21"/>
                <w:szCs w:val="21"/>
              </w:rPr>
              <w:t>运输煤炭、垃圾、渣土、砂石、土方、灰浆等散装、流体物料的车辆应当采取密闭或者其他措施防止物料遗撒造成扬尘污染，并按照规定路线行驶。</w:t>
            </w:r>
          </w:p>
          <w:p w14:paraId="3524B45C">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rPr>
              <w:t>装卸物料应当采取密闭或者喷淋等方式防治扬尘污染。</w:t>
            </w:r>
          </w:p>
          <w:p w14:paraId="396F549A">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bCs/>
                <w:color w:val="000000"/>
                <w:sz w:val="21"/>
                <w:szCs w:val="21"/>
              </w:rPr>
              <w:t>第七十二条</w:t>
            </w:r>
            <w:r>
              <w:rPr>
                <w:rFonts w:hint="default" w:ascii="Times New Roman" w:hAnsi="Times New Roman" w:cs="Times New Roman" w:eastAsiaTheme="minorEastAsia"/>
                <w:b w:val="0"/>
                <w:bCs w:val="0"/>
                <w:color w:val="000000"/>
                <w:sz w:val="21"/>
                <w:szCs w:val="21"/>
              </w:rPr>
              <w:t xml:space="preserve"> 贮存煤炭、煤矸石、煤渣、煤灰、水泥、石灰、石膏、砂土等易产生扬尘的物料应当密闭；不能密闭的，应当设置不低于堆放物高度的严密围挡，并采取有效覆盖措施防治扬尘污染。</w:t>
            </w:r>
          </w:p>
          <w:p w14:paraId="3A9BBD55">
            <w:pPr>
              <w:keepNext w:val="0"/>
              <w:keepLines w:val="0"/>
              <w:pageBreakBefore w:val="0"/>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val="0"/>
                <w:bCs w:val="0"/>
                <w:color w:val="000000"/>
                <w:sz w:val="21"/>
                <w:szCs w:val="21"/>
                <w:lang w:val="en-US" w:eastAsia="en-US" w:bidi="ar-SA"/>
              </w:rPr>
            </w:pPr>
            <w:r>
              <w:rPr>
                <w:rFonts w:hint="default" w:ascii="Times New Roman" w:hAnsi="Times New Roman" w:cs="Times New Roman" w:eastAsiaTheme="minorEastAsia"/>
                <w:b w:val="0"/>
                <w:bCs w:val="0"/>
                <w:color w:val="000000"/>
                <w:sz w:val="21"/>
                <w:szCs w:val="21"/>
              </w:rPr>
              <w:t>码头、矿山、填埋场和消纳场应当实施分区作业，并采取有效措施防治扬尘污染。</w:t>
            </w:r>
          </w:p>
        </w:tc>
      </w:tr>
      <w:tr w14:paraId="7DEAF98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c>
          <w:tcPr>
            <w:tcW w:w="1896" w:type="pct"/>
            <w:tcBorders>
              <w:tl2br w:val="nil"/>
              <w:tr2bl w:val="nil"/>
            </w:tcBorders>
            <w:shd w:val="clear" w:color="auto" w:fill="auto"/>
            <w:noWrap w:val="0"/>
            <w:vAlign w:val="top"/>
          </w:tcPr>
          <w:p w14:paraId="51BCD31D">
            <w:pPr>
              <w:keepNext w:val="0"/>
              <w:keepLines w:val="0"/>
              <w:pageBreakBefore w:val="0"/>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bCs/>
                <w:color w:val="000000"/>
                <w:sz w:val="21"/>
                <w:szCs w:val="21"/>
                <w:u w:val="single"/>
              </w:rPr>
            </w:pPr>
            <w:r>
              <w:rPr>
                <w:rFonts w:hint="default" w:ascii="Times New Roman" w:hAnsi="Times New Roman" w:cs="Times New Roman" w:eastAsiaTheme="minorEastAsia"/>
                <w:b/>
                <w:bCs/>
                <w:color w:val="000000"/>
                <w:sz w:val="21"/>
                <w:szCs w:val="21"/>
                <w:u w:val="single"/>
              </w:rPr>
              <w:t>《排污许可管理条例》</w:t>
            </w:r>
          </w:p>
          <w:p w14:paraId="26F7FDE4">
            <w:pPr>
              <w:keepNext w:val="0"/>
              <w:keepLines w:val="0"/>
              <w:pageBreakBefore w:val="0"/>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rPr>
              <w:t>2020年12月9日国务院第117次常务会议通过。</w:t>
            </w:r>
          </w:p>
          <w:p w14:paraId="3C173514">
            <w:pPr>
              <w:keepNext w:val="0"/>
              <w:keepLines w:val="0"/>
              <w:pageBreakBefore w:val="0"/>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rPr>
              <w:t>2021年1月24日中华人民共和国国务院令第736号公布自2021年3月1日起施行。</w:t>
            </w:r>
          </w:p>
        </w:tc>
        <w:tc>
          <w:tcPr>
            <w:tcW w:w="3103" w:type="pct"/>
            <w:tcBorders>
              <w:tl2br w:val="nil"/>
              <w:tr2bl w:val="nil"/>
            </w:tcBorders>
            <w:shd w:val="clear" w:color="auto" w:fill="auto"/>
            <w:noWrap w:val="0"/>
            <w:vAlign w:val="top"/>
          </w:tcPr>
          <w:p w14:paraId="4D686227">
            <w:pPr>
              <w:keepNext w:val="0"/>
              <w:keepLines w:val="0"/>
              <w:pageBreakBefore w:val="0"/>
              <w:numPr>
                <w:ilvl w:val="0"/>
                <w:numId w:val="0"/>
              </w:numPr>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bCs/>
                <w:color w:val="000000"/>
                <w:sz w:val="21"/>
                <w:szCs w:val="21"/>
                <w:lang w:val="en-US" w:eastAsia="en-US" w:bidi="ar-SA"/>
              </w:rPr>
              <w:t>第十七条</w:t>
            </w:r>
            <w:r>
              <w:rPr>
                <w:rFonts w:hint="default" w:ascii="Times New Roman" w:hAnsi="Times New Roman" w:cs="Times New Roman" w:eastAsiaTheme="minorEastAsia"/>
                <w:b/>
                <w:bCs/>
                <w:color w:val="000000"/>
                <w:sz w:val="21"/>
                <w:szCs w:val="21"/>
                <w:lang w:val="en-US" w:eastAsia="zh-CN" w:bidi="ar-SA"/>
              </w:rPr>
              <w:t xml:space="preserve"> </w:t>
            </w:r>
            <w:r>
              <w:rPr>
                <w:rFonts w:hint="default" w:ascii="Times New Roman" w:hAnsi="Times New Roman" w:cs="Times New Roman" w:eastAsiaTheme="minorEastAsia"/>
                <w:b w:val="0"/>
                <w:bCs w:val="0"/>
                <w:color w:val="000000"/>
                <w:sz w:val="21"/>
                <w:szCs w:val="21"/>
              </w:rPr>
              <w:t>排污许可证是对排污单位进行生态环境监管的主要依据。排污单位应当遵守排污许可证规定，按照生态环境管理要求运行和维护污染防治设施，建立环境管理制度，严格控制污染物排放。</w:t>
            </w:r>
          </w:p>
          <w:p w14:paraId="3AE4FC86">
            <w:pPr>
              <w:keepNext w:val="0"/>
              <w:keepLines w:val="0"/>
              <w:pageBreakBefore w:val="0"/>
              <w:numPr>
                <w:ilvl w:val="0"/>
                <w:numId w:val="0"/>
              </w:numPr>
              <w:kinsoku/>
              <w:wordWrap/>
              <w:overflowPunct/>
              <w:topLinePunct w:val="0"/>
              <w:bidi w:val="0"/>
              <w:adjustRightInd w:val="0"/>
              <w:snapToGrid w:val="0"/>
              <w:spacing w:line="240" w:lineRule="auto"/>
              <w:ind w:left="0" w:leftChars="0" w:firstLine="0" w:firstLineChars="0"/>
              <w:jc w:val="both"/>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bCs/>
                <w:color w:val="000000"/>
                <w:sz w:val="21"/>
                <w:szCs w:val="21"/>
                <w:lang w:val="en-US" w:eastAsia="en-US" w:bidi="ar-SA"/>
              </w:rPr>
              <w:t>第十八条</w:t>
            </w:r>
            <w:r>
              <w:rPr>
                <w:rFonts w:hint="default" w:ascii="Times New Roman" w:hAnsi="Times New Roman" w:cs="Times New Roman" w:eastAsiaTheme="minorEastAsia"/>
                <w:b/>
                <w:bCs/>
                <w:color w:val="000000"/>
                <w:sz w:val="21"/>
                <w:szCs w:val="21"/>
                <w:lang w:val="en-US" w:eastAsia="zh-CN" w:bidi="ar-SA"/>
              </w:rPr>
              <w:t xml:space="preserve"> </w:t>
            </w:r>
            <w:r>
              <w:rPr>
                <w:rFonts w:hint="default" w:ascii="Times New Roman" w:hAnsi="Times New Roman" w:cs="Times New Roman" w:eastAsiaTheme="minorEastAsia"/>
                <w:b w:val="0"/>
                <w:bCs w:val="0"/>
                <w:color w:val="000000"/>
                <w:sz w:val="21"/>
                <w:szCs w:val="21"/>
              </w:rPr>
              <w:t>排污单位应当按照排污许可证规定和有关标准规范，依法开展自行监测，并保存原始监测记录。原始监测记录保存期限不得少于5年。排污单位应当对自行监测数据的真实性、准确性负责，不得篡改、伪造。</w:t>
            </w:r>
          </w:p>
          <w:p w14:paraId="66F88314">
            <w:pPr>
              <w:keepNext w:val="0"/>
              <w:keepLines w:val="0"/>
              <w:pageBreakBefore w:val="0"/>
              <w:numPr>
                <w:ilvl w:val="0"/>
                <w:numId w:val="0"/>
              </w:numPr>
              <w:kinsoku/>
              <w:wordWrap/>
              <w:overflowPunct/>
              <w:topLinePunct w:val="0"/>
              <w:bidi w:val="0"/>
              <w:adjustRightInd w:val="0"/>
              <w:snapToGrid w:val="0"/>
              <w:spacing w:line="240" w:lineRule="auto"/>
              <w:ind w:leftChars="0"/>
              <w:jc w:val="both"/>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bCs/>
                <w:color w:val="000000"/>
                <w:sz w:val="21"/>
                <w:szCs w:val="21"/>
              </w:rPr>
              <w:t xml:space="preserve">第二十条 </w:t>
            </w:r>
            <w:r>
              <w:rPr>
                <w:rFonts w:hint="default" w:ascii="Times New Roman" w:hAnsi="Times New Roman" w:cs="Times New Roman" w:eastAsiaTheme="minorEastAsia"/>
                <w:b w:val="0"/>
                <w:bCs w:val="0"/>
                <w:color w:val="000000"/>
                <w:sz w:val="21"/>
                <w:szCs w:val="21"/>
              </w:rPr>
              <w:t>实行排污许可重点管理的排污单位，应当依法安装、使用、维护污染物排放自动监测设备，并与生态环境主管部门的监控设备联网。排污单位发现污染物排放自动监测设备传输数据异常的，应当及时报告生态环境主管部门，并进行检查、修复。</w:t>
            </w:r>
          </w:p>
          <w:p w14:paraId="5A4CF09D">
            <w:pPr>
              <w:keepNext w:val="0"/>
              <w:keepLines w:val="0"/>
              <w:pageBreakBefore w:val="0"/>
              <w:numPr>
                <w:ilvl w:val="0"/>
                <w:numId w:val="0"/>
              </w:numPr>
              <w:kinsoku/>
              <w:wordWrap/>
              <w:overflowPunct/>
              <w:topLinePunct w:val="0"/>
              <w:bidi w:val="0"/>
              <w:adjustRightInd w:val="0"/>
              <w:snapToGrid w:val="0"/>
              <w:spacing w:line="240" w:lineRule="auto"/>
              <w:ind w:leftChars="0"/>
              <w:jc w:val="both"/>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bCs/>
                <w:color w:val="000000"/>
                <w:sz w:val="21"/>
                <w:szCs w:val="21"/>
              </w:rPr>
              <w:t>第二十一条</w:t>
            </w:r>
            <w:r>
              <w:rPr>
                <w:rFonts w:hint="default" w:ascii="Times New Roman" w:hAnsi="Times New Roman" w:cs="Times New Roman" w:eastAsiaTheme="minorEastAsia"/>
                <w:b w:val="0"/>
                <w:bCs w:val="0"/>
                <w:color w:val="000000"/>
                <w:sz w:val="21"/>
                <w:szCs w:val="21"/>
              </w:rPr>
              <w:t xml:space="preserve"> 排污单位应当建立环境管理台账记录制度，按照排污许可证规定的格式、内容和频次，如实记录主要生产设施、污染防治设施运行情况以及污染物排放浓度、排放量。环境管理台账记录保存期限不得少于5年。排污单位发现污染物排放超过污染物排放标准等异常情况时，应当立即采取措施消除、减轻危害后果，如实进行环境管理台账记录，并报告生态环境主管部门，说明原因。超过污染物排放标准等异常情况下的污染物排放计入排污单位的污染物排放量。</w:t>
            </w:r>
          </w:p>
          <w:p w14:paraId="5486D2DF">
            <w:pPr>
              <w:keepNext w:val="0"/>
              <w:keepLines w:val="0"/>
              <w:pageBreakBefore w:val="0"/>
              <w:numPr>
                <w:ilvl w:val="0"/>
                <w:numId w:val="0"/>
              </w:numPr>
              <w:kinsoku/>
              <w:wordWrap/>
              <w:overflowPunct/>
              <w:topLinePunct w:val="0"/>
              <w:bidi w:val="0"/>
              <w:adjustRightInd w:val="0"/>
              <w:snapToGrid w:val="0"/>
              <w:spacing w:line="240" w:lineRule="auto"/>
              <w:ind w:leftChars="0"/>
              <w:jc w:val="both"/>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bCs/>
                <w:color w:val="000000"/>
                <w:sz w:val="21"/>
                <w:szCs w:val="21"/>
              </w:rPr>
              <w:t>第三十条</w:t>
            </w:r>
            <w:r>
              <w:rPr>
                <w:rFonts w:hint="default" w:ascii="Times New Roman" w:hAnsi="Times New Roman" w:cs="Times New Roman" w:eastAsiaTheme="minorEastAsia"/>
                <w:b w:val="0"/>
                <w:bCs w:val="0"/>
                <w:color w:val="000000"/>
                <w:sz w:val="21"/>
                <w:szCs w:val="21"/>
              </w:rPr>
              <w:t xml:space="preserve"> 国家鼓励排污单位采用污染防治可行技术。国务院生态环境主管部门制定并公布污染防治可行技术指南。排污单位未采用污染防治可行技术的，生态环境主管部门应当根据排污许可证、环境管理台账记录、排污许可证执行报告、自行监测数据等相关材料，以及生态环境主管部门及其所属监测机构在行政执法过程中收集的监测数据，综合判断排污单位采用的污染防治技术能否稳定达到排污许可证规定；对不能稳定达到排污许可证规定的，应当提出整改要求，并可以增加检查频次。</w:t>
            </w:r>
          </w:p>
        </w:tc>
      </w:tr>
      <w:tr w14:paraId="7DE11A9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c>
          <w:tcPr>
            <w:tcW w:w="1896" w:type="pct"/>
            <w:tcBorders>
              <w:tl2br w:val="nil"/>
              <w:tr2bl w:val="nil"/>
            </w:tcBorders>
            <w:shd w:val="clear" w:color="auto" w:fill="auto"/>
            <w:noWrap w:val="0"/>
            <w:vAlign w:val="top"/>
          </w:tcPr>
          <w:p w14:paraId="022BDEA5">
            <w:pPr>
              <w:keepNext w:val="0"/>
              <w:keepLines w:val="0"/>
              <w:pageBreakBefore w:val="0"/>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bCs/>
                <w:color w:val="000000"/>
                <w:sz w:val="21"/>
                <w:szCs w:val="21"/>
                <w:u w:val="single"/>
              </w:rPr>
            </w:pPr>
            <w:r>
              <w:rPr>
                <w:rFonts w:hint="default" w:ascii="Times New Roman" w:hAnsi="Times New Roman" w:cs="Times New Roman" w:eastAsiaTheme="minorEastAsia"/>
                <w:b/>
                <w:bCs/>
                <w:color w:val="000000"/>
                <w:sz w:val="21"/>
                <w:szCs w:val="21"/>
                <w:u w:val="single"/>
              </w:rPr>
              <w:t>《排污许可管理办法》（生态环境部令 第32号）</w:t>
            </w:r>
          </w:p>
          <w:p w14:paraId="762D5502">
            <w:pPr>
              <w:keepNext w:val="0"/>
              <w:keepLines w:val="0"/>
              <w:pageBreakBefore w:val="0"/>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rPr>
              <w:t>2024年4月，生态环境部修订发布《排污许可管理办法》，于2024年7月1日起施行。</w:t>
            </w:r>
          </w:p>
        </w:tc>
        <w:tc>
          <w:tcPr>
            <w:tcW w:w="3103" w:type="pct"/>
            <w:tcBorders>
              <w:tl2br w:val="nil"/>
              <w:tr2bl w:val="nil"/>
            </w:tcBorders>
            <w:shd w:val="clear" w:color="auto" w:fill="auto"/>
            <w:noWrap w:val="0"/>
            <w:vAlign w:val="top"/>
          </w:tcPr>
          <w:p w14:paraId="3536D871">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bCs/>
                <w:color w:val="000000"/>
                <w:sz w:val="21"/>
                <w:szCs w:val="21"/>
              </w:rPr>
              <w:t>第三十三条</w:t>
            </w:r>
            <w:r>
              <w:rPr>
                <w:rFonts w:hint="default" w:ascii="Times New Roman" w:hAnsi="Times New Roman" w:cs="Times New Roman" w:eastAsiaTheme="minorEastAsia"/>
                <w:b w:val="0"/>
                <w:bCs w:val="0"/>
                <w:color w:val="000000"/>
                <w:sz w:val="21"/>
                <w:szCs w:val="21"/>
              </w:rPr>
              <w:t>　排污单位应当依照《条例》规定，严格落实环境保护主体责任，建立健全环境管理制度，按照排污许可证规定严格控制污染物排放。</w:t>
            </w:r>
          </w:p>
          <w:p w14:paraId="2041DD0B">
            <w:pPr>
              <w:keepNext w:val="0"/>
              <w:keepLines w:val="0"/>
              <w:pageBreakBefore w:val="0"/>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rPr>
              <w:t>排污登记单位应当依照国家生态环境保护法律法规规章等管理规定运行和维护污染防治设施，建设规范化排放口，落实排污主体责任，控制污染物排放。</w:t>
            </w:r>
          </w:p>
          <w:p w14:paraId="0D5FEB66">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bCs/>
                <w:color w:val="000000"/>
                <w:sz w:val="21"/>
                <w:szCs w:val="21"/>
              </w:rPr>
              <w:t>第三十四条</w:t>
            </w:r>
            <w:r>
              <w:rPr>
                <w:rFonts w:hint="default" w:ascii="Times New Roman" w:hAnsi="Times New Roman" w:cs="Times New Roman" w:eastAsiaTheme="minorEastAsia"/>
                <w:b w:val="0"/>
                <w:bCs w:val="0"/>
                <w:color w:val="000000"/>
                <w:sz w:val="21"/>
                <w:szCs w:val="21"/>
              </w:rPr>
              <w:t>　排污单位应当按照排污许可证规定和有关标准规范，依法开展自行监测，保存原始监测记录。原始监测记录保存期限不得少于五年。</w:t>
            </w:r>
          </w:p>
          <w:p w14:paraId="4BFCB385">
            <w:pPr>
              <w:keepNext w:val="0"/>
              <w:keepLines w:val="0"/>
              <w:pageBreakBefore w:val="0"/>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rPr>
              <w:t>排污单位对自行监测数据的真实性、准确性负责，不得篡改、伪造。</w:t>
            </w:r>
          </w:p>
          <w:p w14:paraId="40689079">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bCs/>
                <w:color w:val="000000"/>
                <w:sz w:val="21"/>
                <w:szCs w:val="21"/>
              </w:rPr>
              <w:t>第三十五条</w:t>
            </w:r>
            <w:r>
              <w:rPr>
                <w:rFonts w:hint="default" w:ascii="Times New Roman" w:hAnsi="Times New Roman" w:cs="Times New Roman" w:eastAsiaTheme="minorEastAsia"/>
                <w:b w:val="0"/>
                <w:bCs w:val="0"/>
                <w:color w:val="000000"/>
                <w:sz w:val="21"/>
                <w:szCs w:val="21"/>
              </w:rPr>
              <w:t>　实行排污许可重点管理的排污单位，应当依法安装、使用、维护污染物排放自动监测设备，并与生态环境主管部门的监控设备联网。</w:t>
            </w:r>
          </w:p>
          <w:p w14:paraId="5F613620">
            <w:pPr>
              <w:keepNext w:val="0"/>
              <w:keepLines w:val="0"/>
              <w:pageBreakBefore w:val="0"/>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rPr>
              <w:t>排污单位发现污染物排放自动监测设备传输数据异常的，应当及时报告生态环境主管部门，并进行检查、修复。</w:t>
            </w:r>
          </w:p>
          <w:p w14:paraId="34920E1C">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bCs/>
                <w:color w:val="000000"/>
                <w:sz w:val="21"/>
                <w:szCs w:val="21"/>
              </w:rPr>
              <w:t>第三十六条</w:t>
            </w:r>
            <w:r>
              <w:rPr>
                <w:rFonts w:hint="default" w:ascii="Times New Roman" w:hAnsi="Times New Roman" w:cs="Times New Roman" w:eastAsiaTheme="minorEastAsia"/>
                <w:b w:val="0"/>
                <w:bCs w:val="0"/>
                <w:color w:val="000000"/>
                <w:sz w:val="21"/>
                <w:szCs w:val="21"/>
              </w:rPr>
              <w:t>　排污单位应当按照排污许可证规定的格式、内容和频次要求记录环境管理台账，主要包括以下内容：</w:t>
            </w:r>
          </w:p>
          <w:p w14:paraId="1CEC57CB">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rPr>
              <w:t>（一）与污染物排放相关的主要生产设施运行情况；发生异常情况的，应当记录原因和采取的措施。（二）污染防治设施运行情况及管理信息；发生异常情况的，应当记录原因和采取的措施。（三）污染物实际排放浓度和排放量；发生超标排放情况的，应当记录超标原因和采取的措施。（四）其他按照相关技术规范应当记录的信息。</w:t>
            </w:r>
          </w:p>
          <w:p w14:paraId="494992F5">
            <w:pPr>
              <w:keepNext w:val="0"/>
              <w:keepLines w:val="0"/>
              <w:pageBreakBefore w:val="0"/>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rPr>
              <w:t>环境管理台账记录保存期限不得少于五年。</w:t>
            </w:r>
          </w:p>
        </w:tc>
      </w:tr>
      <w:tr w14:paraId="1B43FD3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896" w:type="pct"/>
            <w:tcBorders>
              <w:tl2br w:val="nil"/>
              <w:tr2bl w:val="nil"/>
            </w:tcBorders>
            <w:shd w:val="clear" w:color="auto" w:fill="auto"/>
            <w:noWrap w:val="0"/>
            <w:vAlign w:val="top"/>
          </w:tcPr>
          <w:p w14:paraId="37BF2232">
            <w:pPr>
              <w:keepNext w:val="0"/>
              <w:keepLines w:val="0"/>
              <w:pageBreakBefore w:val="0"/>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bCs/>
                <w:color w:val="000000"/>
                <w:sz w:val="21"/>
                <w:szCs w:val="21"/>
                <w:u w:val="single"/>
              </w:rPr>
            </w:pPr>
            <w:r>
              <w:rPr>
                <w:rFonts w:hint="default" w:ascii="Times New Roman" w:hAnsi="Times New Roman" w:cs="Times New Roman" w:eastAsiaTheme="minorEastAsia"/>
                <w:b/>
                <w:bCs/>
                <w:color w:val="000000"/>
                <w:sz w:val="21"/>
                <w:szCs w:val="21"/>
                <w:u w:val="single"/>
              </w:rPr>
              <w:t>《河北省大气污染防治条例》（2021年9月29日修正）</w:t>
            </w:r>
          </w:p>
          <w:p w14:paraId="1F8F6369">
            <w:pPr>
              <w:keepNext w:val="0"/>
              <w:keepLines w:val="0"/>
              <w:pageBreakBefore w:val="0"/>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rPr>
              <w:t>2021年9月29日河北省第十三届人民代表大会常务委员会第二十五次会议《关于修改〈河北省技术市场条例〉等十四部法规的决定》修正。</w:t>
            </w:r>
          </w:p>
        </w:tc>
        <w:tc>
          <w:tcPr>
            <w:tcW w:w="3103" w:type="pct"/>
            <w:tcBorders>
              <w:tl2br w:val="nil"/>
              <w:tr2bl w:val="nil"/>
            </w:tcBorders>
            <w:shd w:val="clear" w:color="auto" w:fill="auto"/>
            <w:noWrap w:val="0"/>
            <w:vAlign w:val="top"/>
          </w:tcPr>
          <w:p w14:paraId="1CC3CB4A">
            <w:pPr>
              <w:keepNext w:val="0"/>
              <w:keepLines w:val="0"/>
              <w:pageBreakBefore w:val="0"/>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bCs/>
                <w:color w:val="000000"/>
                <w:sz w:val="21"/>
                <w:szCs w:val="21"/>
              </w:rPr>
              <w:t xml:space="preserve">第四十条 </w:t>
            </w:r>
            <w:r>
              <w:rPr>
                <w:rFonts w:hint="default" w:ascii="Times New Roman" w:hAnsi="Times New Roman" w:cs="Times New Roman" w:eastAsiaTheme="minorEastAsia"/>
                <w:b w:val="0"/>
                <w:bCs w:val="0"/>
                <w:color w:val="000000"/>
                <w:sz w:val="21"/>
                <w:szCs w:val="21"/>
              </w:rPr>
              <w:t>企业料堆场应当按照有关规定进行封闭，不能封闭的应当安装防尘设施或者采取其他抑尘措施。装卸易产生扬尘的物料时，应当采取密闭或者喷淋等抑尘措施。</w:t>
            </w:r>
          </w:p>
          <w:p w14:paraId="43B1FFF5">
            <w:pPr>
              <w:keepNext w:val="0"/>
              <w:keepLines w:val="0"/>
              <w:pageBreakBefore w:val="0"/>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bCs/>
                <w:color w:val="000000"/>
                <w:sz w:val="21"/>
                <w:szCs w:val="21"/>
              </w:rPr>
              <w:t xml:space="preserve">第四十一条 </w:t>
            </w:r>
            <w:r>
              <w:rPr>
                <w:rFonts w:hint="default" w:ascii="Times New Roman" w:hAnsi="Times New Roman" w:cs="Times New Roman" w:eastAsiaTheme="minorEastAsia"/>
                <w:b w:val="0"/>
                <w:bCs w:val="0"/>
                <w:color w:val="000000"/>
                <w:sz w:val="21"/>
                <w:szCs w:val="21"/>
              </w:rPr>
              <w:t>运输渣土、砂石、建筑垃圾等易产生扬尘污染物料的车辆应当密闭，物料不得沿途散落或者飞扬，并按照规定路线行驶。</w:t>
            </w:r>
          </w:p>
        </w:tc>
      </w:tr>
      <w:tr w14:paraId="3E31CD3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c>
          <w:tcPr>
            <w:tcW w:w="1896" w:type="pct"/>
            <w:tcBorders>
              <w:tl2br w:val="nil"/>
              <w:tr2bl w:val="nil"/>
            </w:tcBorders>
            <w:shd w:val="clear" w:color="auto" w:fill="auto"/>
            <w:noWrap w:val="0"/>
            <w:vAlign w:val="center"/>
          </w:tcPr>
          <w:p w14:paraId="57646338">
            <w:pPr>
              <w:keepNext w:val="0"/>
              <w:keepLines w:val="0"/>
              <w:pageBreakBefore w:val="0"/>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bCs/>
                <w:color w:val="000000"/>
                <w:sz w:val="21"/>
                <w:szCs w:val="21"/>
                <w:u w:val="single"/>
              </w:rPr>
            </w:pPr>
            <w:r>
              <w:rPr>
                <w:rFonts w:hint="default" w:ascii="Times New Roman" w:hAnsi="Times New Roman" w:cs="Times New Roman" w:eastAsiaTheme="minorEastAsia"/>
                <w:b/>
                <w:bCs/>
                <w:color w:val="000000"/>
                <w:sz w:val="21"/>
                <w:szCs w:val="21"/>
                <w:u w:val="single"/>
              </w:rPr>
              <w:t>《浙江省大气污染防治条例》（2020年11月27日修正）</w:t>
            </w:r>
          </w:p>
          <w:p w14:paraId="29242935">
            <w:pPr>
              <w:keepNext w:val="0"/>
              <w:keepLines w:val="0"/>
              <w:pageBreakBefore w:val="0"/>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val="0"/>
                <w:bCs w:val="0"/>
                <w:color w:val="000000"/>
                <w:sz w:val="21"/>
                <w:szCs w:val="21"/>
                <w:lang w:eastAsia="zh-CN"/>
              </w:rPr>
            </w:pPr>
            <w:r>
              <w:rPr>
                <w:rFonts w:hint="default" w:ascii="Times New Roman" w:hAnsi="Times New Roman" w:cs="Times New Roman" w:eastAsiaTheme="minorEastAsia"/>
                <w:b w:val="0"/>
                <w:bCs w:val="0"/>
                <w:color w:val="000000"/>
                <w:sz w:val="21"/>
                <w:szCs w:val="21"/>
              </w:rPr>
              <w:t>2020年11月27日浙江省第十三届人民代表大会常务委员会第二十五次会议《关于修改〈浙江省大气污染防治条例〉等六件地方性法规的决定》修正</w:t>
            </w:r>
            <w:r>
              <w:rPr>
                <w:rFonts w:hint="default" w:ascii="Times New Roman" w:hAnsi="Times New Roman" w:cs="Times New Roman" w:eastAsiaTheme="minorEastAsia"/>
                <w:b w:val="0"/>
                <w:bCs w:val="0"/>
                <w:color w:val="000000"/>
                <w:sz w:val="21"/>
                <w:szCs w:val="21"/>
                <w:lang w:eastAsia="zh-CN"/>
              </w:rPr>
              <w:t>。</w:t>
            </w:r>
          </w:p>
        </w:tc>
        <w:tc>
          <w:tcPr>
            <w:tcW w:w="3103" w:type="pct"/>
            <w:tcBorders>
              <w:tl2br w:val="nil"/>
              <w:tr2bl w:val="nil"/>
            </w:tcBorders>
            <w:shd w:val="clear" w:color="auto" w:fill="auto"/>
            <w:noWrap w:val="0"/>
            <w:vAlign w:val="center"/>
          </w:tcPr>
          <w:p w14:paraId="5236F71A">
            <w:pPr>
              <w:keepNext w:val="0"/>
              <w:keepLines w:val="0"/>
              <w:pageBreakBefore w:val="0"/>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bCs/>
                <w:color w:val="000000"/>
                <w:sz w:val="21"/>
                <w:szCs w:val="21"/>
              </w:rPr>
              <w:t xml:space="preserve">第四十三条 </w:t>
            </w:r>
            <w:r>
              <w:rPr>
                <w:rFonts w:hint="default" w:ascii="Times New Roman" w:hAnsi="Times New Roman" w:cs="Times New Roman" w:eastAsiaTheme="minorEastAsia"/>
                <w:b w:val="0"/>
                <w:bCs w:val="0"/>
                <w:color w:val="000000"/>
                <w:sz w:val="21"/>
                <w:szCs w:val="21"/>
              </w:rPr>
              <w:t>运输和装卸煤炭、垃圾、渣土、砂石、土方、水泥、混凝土、砂浆等散装、流体物料的车辆，应当采取密闭或者其他措施，防止扬尘污染，并按照规定时间和路线行驶。</w:t>
            </w:r>
          </w:p>
        </w:tc>
      </w:tr>
      <w:tr w14:paraId="37E414F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c>
          <w:tcPr>
            <w:tcW w:w="1896" w:type="pct"/>
            <w:tcBorders>
              <w:tl2br w:val="nil"/>
              <w:tr2bl w:val="nil"/>
            </w:tcBorders>
            <w:shd w:val="clear" w:color="auto" w:fill="auto"/>
            <w:noWrap w:val="0"/>
            <w:vAlign w:val="center"/>
          </w:tcPr>
          <w:p w14:paraId="577E2E42">
            <w:pPr>
              <w:keepNext w:val="0"/>
              <w:keepLines w:val="0"/>
              <w:pageBreakBefore w:val="0"/>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bCs/>
                <w:color w:val="000000"/>
                <w:sz w:val="21"/>
                <w:szCs w:val="21"/>
                <w:u w:val="single"/>
              </w:rPr>
            </w:pPr>
            <w:r>
              <w:rPr>
                <w:rFonts w:hint="default" w:ascii="Times New Roman" w:hAnsi="Times New Roman" w:cs="Times New Roman" w:eastAsiaTheme="minorEastAsia"/>
                <w:b/>
                <w:bCs/>
                <w:color w:val="000000"/>
                <w:sz w:val="21"/>
                <w:szCs w:val="21"/>
                <w:u w:val="single"/>
              </w:rPr>
              <w:t>《江苏省大气污染防治条例》（2018年修正）</w:t>
            </w:r>
          </w:p>
          <w:p w14:paraId="4B742970">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rPr>
              <w:t>2018年11月23日江苏省第十三届人民代表大会常务委员会第六次会议《关于修改〈江苏省湖泊保护条例〉等十八件地方性法规的决定》第二次修正。</w:t>
            </w:r>
          </w:p>
        </w:tc>
        <w:tc>
          <w:tcPr>
            <w:tcW w:w="3103" w:type="pct"/>
            <w:tcBorders>
              <w:tl2br w:val="nil"/>
              <w:tr2bl w:val="nil"/>
            </w:tcBorders>
            <w:shd w:val="clear" w:color="auto" w:fill="auto"/>
            <w:noWrap w:val="0"/>
            <w:vAlign w:val="center"/>
          </w:tcPr>
          <w:p w14:paraId="0C7AF914">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bCs/>
                <w:color w:val="000000"/>
                <w:sz w:val="21"/>
                <w:szCs w:val="21"/>
              </w:rPr>
              <w:t>第五十五条</w:t>
            </w:r>
            <w:r>
              <w:rPr>
                <w:rFonts w:hint="default" w:ascii="Times New Roman" w:hAnsi="Times New Roman" w:cs="Times New Roman" w:eastAsiaTheme="minorEastAsia"/>
                <w:b w:val="0"/>
                <w:bCs w:val="0"/>
                <w:color w:val="000000"/>
                <w:sz w:val="21"/>
                <w:szCs w:val="21"/>
              </w:rPr>
              <w:t xml:space="preserve"> 钢铁、火电、建材等企业和港口码头、建设工地的物料堆放场所应当按照要求进行地面硬化，并采取密闭、围挡、遮盖、喷淋、绿化、设置防风抑尘网等措施。物料装卸可以密闭作业的应当密闭，避免作业起尘。大型煤场、物料堆放场所应当建立密闭料仓与传送装置。 </w:t>
            </w:r>
          </w:p>
          <w:p w14:paraId="645B4DCC">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rPr>
              <w:t>物料堆放场所出口应当硬化地面并设置车辆清洗设施，运输车辆冲洗干净后方可驶出作业场所。施工单位和物料堆放场所经营管理者应当及时清扫和冲洗出口处道路，路面不得有明显可见泥土、物料印迹。</w:t>
            </w:r>
          </w:p>
        </w:tc>
      </w:tr>
      <w:tr w14:paraId="16240EC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c>
          <w:tcPr>
            <w:tcW w:w="1896" w:type="pct"/>
            <w:tcBorders>
              <w:tl2br w:val="nil"/>
              <w:tr2bl w:val="nil"/>
            </w:tcBorders>
            <w:shd w:val="clear" w:color="auto" w:fill="auto"/>
            <w:noWrap w:val="0"/>
            <w:vAlign w:val="center"/>
          </w:tcPr>
          <w:p w14:paraId="122B71A8">
            <w:pPr>
              <w:keepNext w:val="0"/>
              <w:keepLines w:val="0"/>
              <w:pageBreakBefore w:val="0"/>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bCs/>
                <w:color w:val="000000"/>
                <w:sz w:val="21"/>
                <w:szCs w:val="21"/>
                <w:u w:val="single"/>
              </w:rPr>
            </w:pPr>
            <w:r>
              <w:rPr>
                <w:rFonts w:hint="default" w:ascii="Times New Roman" w:hAnsi="Times New Roman" w:cs="Times New Roman" w:eastAsiaTheme="minorEastAsia"/>
                <w:b/>
                <w:bCs/>
                <w:color w:val="000000"/>
                <w:sz w:val="21"/>
                <w:szCs w:val="21"/>
                <w:u w:val="single"/>
              </w:rPr>
              <w:t>《辽宁省大气污染防治条例》（2022年修正）</w:t>
            </w:r>
          </w:p>
          <w:p w14:paraId="75D5F460">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rPr>
              <w:t>2022年4月21日辽宁省第十三届人民代表大会常务委员会第三十二次会议《关于修改〈辽宁省食品安全条例〉等10件地方性法规的决定》第二次修正。</w:t>
            </w:r>
          </w:p>
        </w:tc>
        <w:tc>
          <w:tcPr>
            <w:tcW w:w="3103" w:type="pct"/>
            <w:tcBorders>
              <w:tl2br w:val="nil"/>
              <w:tr2bl w:val="nil"/>
            </w:tcBorders>
            <w:shd w:val="clear" w:color="auto" w:fill="auto"/>
            <w:noWrap w:val="0"/>
            <w:vAlign w:val="center"/>
          </w:tcPr>
          <w:p w14:paraId="335FEEB0">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bCs/>
                <w:color w:val="000000"/>
                <w:sz w:val="21"/>
                <w:szCs w:val="21"/>
              </w:rPr>
              <w:t xml:space="preserve">第四十六条 </w:t>
            </w:r>
            <w:r>
              <w:rPr>
                <w:rFonts w:hint="default" w:ascii="Times New Roman" w:hAnsi="Times New Roman" w:cs="Times New Roman" w:eastAsiaTheme="minorEastAsia"/>
                <w:b w:val="0"/>
                <w:bCs w:val="0"/>
                <w:color w:val="000000"/>
                <w:sz w:val="21"/>
                <w:szCs w:val="21"/>
              </w:rPr>
              <w:t>矿山、码头、填埋场和消纳场应当实行分区作业，堆放易产生扬尘物料的，应当遵守下列防尘规定：</w:t>
            </w:r>
          </w:p>
          <w:p w14:paraId="05AA86CC">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rPr>
              <w:t>（一）场坪、路面应当进行硬化处理，并保持路面整洁；</w:t>
            </w:r>
          </w:p>
          <w:p w14:paraId="2A3098BD">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rPr>
              <w:t>（二）周边应当配备高于堆存物料的围挡、防风抑尘网等设施，大型堆场应当配置车辆清洗专用设施；</w:t>
            </w:r>
          </w:p>
          <w:p w14:paraId="584BFE0E">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rPr>
              <w:t>（三）对物料应当采取相应的覆盖、喷淋等防风抑尘措施；</w:t>
            </w:r>
          </w:p>
          <w:p w14:paraId="49C6FA14">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rPr>
              <w:t>（四）露天装卸物料应当采取洒水、喷淋等抑尘措施，密闭输送物料应当在装卸处配备吸尘、喷淋等设施。</w:t>
            </w:r>
          </w:p>
        </w:tc>
      </w:tr>
      <w:tr w14:paraId="4E7B2E5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c>
          <w:tcPr>
            <w:tcW w:w="1896" w:type="pct"/>
            <w:tcBorders>
              <w:tl2br w:val="nil"/>
              <w:tr2bl w:val="nil"/>
            </w:tcBorders>
            <w:shd w:val="clear" w:color="auto" w:fill="auto"/>
            <w:noWrap w:val="0"/>
            <w:vAlign w:val="center"/>
          </w:tcPr>
          <w:p w14:paraId="31E35681">
            <w:pPr>
              <w:keepNext w:val="0"/>
              <w:keepLines w:val="0"/>
              <w:pageBreakBefore w:val="0"/>
              <w:shd w:val="clear" w:color="auto"/>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bCs/>
                <w:color w:val="000000"/>
                <w:sz w:val="21"/>
                <w:szCs w:val="21"/>
                <w:u w:val="single"/>
              </w:rPr>
            </w:pPr>
            <w:r>
              <w:rPr>
                <w:rFonts w:hint="default" w:ascii="Times New Roman" w:hAnsi="Times New Roman" w:cs="Times New Roman" w:eastAsiaTheme="minorEastAsia"/>
                <w:b/>
                <w:bCs/>
                <w:color w:val="000000"/>
                <w:sz w:val="21"/>
                <w:szCs w:val="21"/>
                <w:u w:val="single"/>
              </w:rPr>
              <w:t>《福建省大气污染防治条例》（2019年1月1日起施行）</w:t>
            </w:r>
          </w:p>
          <w:p w14:paraId="391C5A11">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rPr>
              <w:t>《福建省大气污染防治条例》已由福建省第十三届人民代表大会常务委员会第七次会议于2018年11月23日通过，现予公布。本条例自2019年1月1日起施行。</w:t>
            </w:r>
          </w:p>
        </w:tc>
        <w:tc>
          <w:tcPr>
            <w:tcW w:w="3103" w:type="pct"/>
            <w:tcBorders>
              <w:tl2br w:val="nil"/>
              <w:tr2bl w:val="nil"/>
            </w:tcBorders>
            <w:shd w:val="clear" w:color="auto" w:fill="auto"/>
            <w:noWrap w:val="0"/>
            <w:vAlign w:val="center"/>
          </w:tcPr>
          <w:p w14:paraId="7F807E51">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bCs/>
                <w:color w:val="000000"/>
                <w:sz w:val="21"/>
                <w:szCs w:val="21"/>
              </w:rPr>
              <w:t>第四十五条</w:t>
            </w:r>
            <w:r>
              <w:rPr>
                <w:rFonts w:hint="default" w:ascii="Times New Roman" w:hAnsi="Times New Roman" w:cs="Times New Roman" w:eastAsiaTheme="minorEastAsia"/>
                <w:b w:val="0"/>
                <w:bCs w:val="0"/>
                <w:color w:val="000000"/>
                <w:sz w:val="21"/>
                <w:szCs w:val="21"/>
              </w:rPr>
              <w:t xml:space="preserve"> 港口码头的物料堆放场所应当进行地面硬化，并采取密闭、围挡、遮盖、喷淋、绿化、设置防风抑尘网等措施，避免作业扬尘。</w:t>
            </w:r>
          </w:p>
          <w:p w14:paraId="220745B6">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rPr>
              <w:t>物料堆放场所出口应当硬化地面并设置车辆清洗设施，运输车辆冲洗干净后方可驶出作业场所。物料堆放场所经营管理者应当及时清扫和冲洗出口处道路。</w:t>
            </w:r>
          </w:p>
          <w:p w14:paraId="59EAA59E">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bCs/>
                <w:color w:val="000000"/>
                <w:sz w:val="21"/>
                <w:szCs w:val="21"/>
              </w:rPr>
              <w:t>第五十二条　</w:t>
            </w:r>
            <w:r>
              <w:rPr>
                <w:rFonts w:hint="default" w:ascii="Times New Roman" w:hAnsi="Times New Roman" w:cs="Times New Roman" w:eastAsiaTheme="minorEastAsia"/>
                <w:b w:val="0"/>
                <w:bCs w:val="0"/>
                <w:color w:val="000000"/>
                <w:sz w:val="21"/>
                <w:szCs w:val="21"/>
              </w:rPr>
              <w:t>运输和装卸煤炭、垃圾、渣土、砂石、土方、水泥、混凝土、砂浆等散装、流体物料应当使用符合条件的车辆，配备卫星定位系统，按照规定路线和时间行驶，采取密闭或者其他措施，防止抛撒滴漏造成扬尘污染。设区的市、县（市、区）人民政府有关部门应当按照各自职责加强对运输和装卸散装、流体物料车辆的监管，依法查处抛撒滴漏行为。</w:t>
            </w:r>
          </w:p>
        </w:tc>
      </w:tr>
      <w:tr w14:paraId="2449DA5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2358" w:hRule="atLeast"/>
        </w:trPr>
        <w:tc>
          <w:tcPr>
            <w:tcW w:w="1896" w:type="pct"/>
            <w:tcBorders>
              <w:tl2br w:val="nil"/>
              <w:tr2bl w:val="nil"/>
            </w:tcBorders>
            <w:shd w:val="clear" w:color="auto" w:fill="auto"/>
            <w:noWrap w:val="0"/>
            <w:vAlign w:val="center"/>
          </w:tcPr>
          <w:p w14:paraId="75AD48EB">
            <w:pPr>
              <w:keepNext w:val="0"/>
              <w:keepLines w:val="0"/>
              <w:pageBreakBefore w:val="0"/>
              <w:shd w:val="clear" w:color="auto"/>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bCs/>
                <w:color w:val="000000"/>
                <w:sz w:val="21"/>
                <w:szCs w:val="21"/>
                <w:u w:val="single"/>
              </w:rPr>
            </w:pPr>
            <w:r>
              <w:rPr>
                <w:rFonts w:hint="default" w:ascii="Times New Roman" w:hAnsi="Times New Roman" w:cs="Times New Roman" w:eastAsiaTheme="minorEastAsia"/>
                <w:b/>
                <w:bCs/>
                <w:color w:val="000000"/>
                <w:sz w:val="21"/>
                <w:szCs w:val="21"/>
                <w:u w:val="single"/>
              </w:rPr>
              <w:t>《天津市大气污染防治条例》（2020年9月25日）</w:t>
            </w:r>
          </w:p>
          <w:p w14:paraId="6D17A17D">
            <w:pPr>
              <w:keepNext w:val="0"/>
              <w:keepLines w:val="0"/>
              <w:pageBreakBefore w:val="0"/>
              <w:shd w:val="clear" w:color="auto"/>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lang w:eastAsia="zh-CN"/>
              </w:rPr>
            </w:pPr>
            <w:r>
              <w:rPr>
                <w:rFonts w:hint="default" w:ascii="Times New Roman" w:hAnsi="Times New Roman" w:cs="Times New Roman" w:eastAsiaTheme="minorEastAsia"/>
                <w:b w:val="0"/>
                <w:bCs w:val="0"/>
                <w:color w:val="000000"/>
                <w:sz w:val="21"/>
                <w:szCs w:val="21"/>
              </w:rPr>
              <w:t>2020年9月25日天津市第十七届人民代表大会常务委员会第二十三次会议《关于修改〈天津市供电用电条例〉等七部地方性法规的决定》第三次修正</w:t>
            </w:r>
            <w:r>
              <w:rPr>
                <w:rFonts w:hint="default" w:ascii="Times New Roman" w:hAnsi="Times New Roman" w:cs="Times New Roman" w:eastAsiaTheme="minorEastAsia"/>
                <w:b w:val="0"/>
                <w:bCs w:val="0"/>
                <w:color w:val="000000"/>
                <w:sz w:val="21"/>
                <w:szCs w:val="21"/>
                <w:lang w:eastAsia="zh-CN"/>
              </w:rPr>
              <w:t>。</w:t>
            </w:r>
          </w:p>
        </w:tc>
        <w:tc>
          <w:tcPr>
            <w:tcW w:w="3103" w:type="pct"/>
            <w:tcBorders>
              <w:tl2br w:val="nil"/>
              <w:tr2bl w:val="nil"/>
            </w:tcBorders>
            <w:shd w:val="clear" w:color="auto" w:fill="auto"/>
            <w:noWrap w:val="0"/>
            <w:vAlign w:val="center"/>
          </w:tcPr>
          <w:p w14:paraId="2DBDF6C6">
            <w:pPr>
              <w:keepNext w:val="0"/>
              <w:keepLines w:val="0"/>
              <w:pageBreakBefore w:val="0"/>
              <w:shd w:val="clear" w:color="auto"/>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bCs/>
                <w:color w:val="000000"/>
                <w:sz w:val="21"/>
                <w:szCs w:val="21"/>
              </w:rPr>
              <w:t>第六十三条</w:t>
            </w:r>
            <w:r>
              <w:rPr>
                <w:rFonts w:hint="default" w:ascii="Times New Roman" w:hAnsi="Times New Roman" w:cs="Times New Roman" w:eastAsiaTheme="minorEastAsia"/>
                <w:b w:val="0"/>
                <w:bCs w:val="0"/>
                <w:color w:val="000000"/>
                <w:sz w:val="21"/>
                <w:szCs w:val="21"/>
              </w:rPr>
              <w:t> 煤炭、煤矸石、煤渣、煤灰、矿粉、砂石、灰土等易产生扬尘的散体物料堆场，应当密闭贮存；不能密闭的，应当按照规定设置严密围挡或者防风抑尘网，并采取有效覆盖措施防止扬尘。装卸物料应当采取密闭或者喷淋等方式控制扬尘排放。</w:t>
            </w:r>
          </w:p>
          <w:p w14:paraId="4B40DEE4">
            <w:pPr>
              <w:keepNext w:val="0"/>
              <w:keepLines w:val="0"/>
              <w:pageBreakBefore w:val="0"/>
              <w:shd w:val="clear" w:color="auto"/>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bCs/>
                <w:color w:val="000000"/>
                <w:sz w:val="21"/>
                <w:szCs w:val="21"/>
              </w:rPr>
              <w:t>第六十四条 </w:t>
            </w:r>
            <w:r>
              <w:rPr>
                <w:rFonts w:hint="default" w:ascii="Times New Roman" w:hAnsi="Times New Roman" w:cs="Times New Roman" w:eastAsiaTheme="minorEastAsia"/>
                <w:b w:val="0"/>
                <w:bCs w:val="0"/>
                <w:color w:val="000000"/>
                <w:sz w:val="21"/>
                <w:szCs w:val="21"/>
              </w:rPr>
              <w:t>运输企业运输工程渣土、矿粉、砂石、灰浆、建筑垃圾等散装、流体物料的，应当采用专用车辆密闭运输，并按照指定的时间、区域和路线行驶。</w:t>
            </w:r>
          </w:p>
        </w:tc>
      </w:tr>
      <w:tr w14:paraId="5514F9A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16" w:hRule="atLeast"/>
        </w:trPr>
        <w:tc>
          <w:tcPr>
            <w:tcW w:w="1896" w:type="pct"/>
            <w:tcBorders>
              <w:tl2br w:val="nil"/>
              <w:tr2bl w:val="nil"/>
            </w:tcBorders>
            <w:shd w:val="clear" w:color="auto" w:fill="auto"/>
            <w:noWrap w:val="0"/>
            <w:vAlign w:val="center"/>
          </w:tcPr>
          <w:p w14:paraId="0CFF14CB">
            <w:pPr>
              <w:keepNext w:val="0"/>
              <w:keepLines w:val="0"/>
              <w:pageBreakBefore w:val="0"/>
              <w:shd w:val="clear" w:color="auto"/>
              <w:kinsoku/>
              <w:wordWrap/>
              <w:overflowPunct/>
              <w:topLinePunct w:val="0"/>
              <w:bidi w:val="0"/>
              <w:adjustRightInd w:val="0"/>
              <w:snapToGrid w:val="0"/>
              <w:spacing w:line="240" w:lineRule="auto"/>
              <w:ind w:firstLine="0" w:firstLineChars="0"/>
              <w:jc w:val="both"/>
              <w:rPr>
                <w:rFonts w:hint="default" w:ascii="Times New Roman" w:hAnsi="Times New Roman" w:cs="Times New Roman" w:eastAsiaTheme="minorEastAsia"/>
                <w:b/>
                <w:bCs/>
                <w:color w:val="000000"/>
                <w:sz w:val="21"/>
                <w:szCs w:val="21"/>
                <w:u w:val="single"/>
              </w:rPr>
            </w:pPr>
            <w:r>
              <w:rPr>
                <w:rFonts w:hint="default" w:ascii="Times New Roman" w:hAnsi="Times New Roman" w:cs="Times New Roman" w:eastAsiaTheme="minorEastAsia"/>
                <w:b/>
                <w:bCs/>
                <w:color w:val="000000"/>
                <w:sz w:val="21"/>
                <w:szCs w:val="21"/>
                <w:u w:val="single"/>
              </w:rPr>
              <w:t>《上海市大气污染防治条例》（2018年修正）</w:t>
            </w:r>
          </w:p>
          <w:p w14:paraId="298EE4F8">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u w:val="single"/>
              </w:rPr>
            </w:pPr>
            <w:r>
              <w:rPr>
                <w:rFonts w:hint="default" w:ascii="Times New Roman" w:hAnsi="Times New Roman" w:cs="Times New Roman" w:eastAsiaTheme="minorEastAsia"/>
                <w:b w:val="0"/>
                <w:bCs w:val="0"/>
                <w:color w:val="000000"/>
                <w:sz w:val="21"/>
                <w:szCs w:val="21"/>
              </w:rPr>
              <w:t>2018年12 月20日上海市第十五届人民代表大会常务委员会第八次会议《关于修改〈上海市大气污染防治条例〉的决定》第二次修正。</w:t>
            </w:r>
          </w:p>
        </w:tc>
        <w:tc>
          <w:tcPr>
            <w:tcW w:w="3103" w:type="pct"/>
            <w:tcBorders>
              <w:tl2br w:val="nil"/>
              <w:tr2bl w:val="nil"/>
            </w:tcBorders>
            <w:shd w:val="clear" w:color="auto" w:fill="auto"/>
            <w:noWrap w:val="0"/>
            <w:vAlign w:val="center"/>
          </w:tcPr>
          <w:p w14:paraId="0B8CB9C6">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bCs/>
                <w:color w:val="000000"/>
                <w:sz w:val="21"/>
                <w:szCs w:val="21"/>
              </w:rPr>
              <w:t xml:space="preserve">第五十六条 </w:t>
            </w:r>
            <w:r>
              <w:rPr>
                <w:rFonts w:hint="default" w:ascii="Times New Roman" w:hAnsi="Times New Roman" w:cs="Times New Roman" w:eastAsiaTheme="minorEastAsia"/>
                <w:b w:val="0"/>
                <w:bCs w:val="0"/>
                <w:color w:val="000000"/>
                <w:sz w:val="21"/>
                <w:szCs w:val="21"/>
              </w:rPr>
              <w:t>装卸、运输易产生扬尘污染的物料的车辆，应当采用密闭化措施。运输单位和个人应当加强对车辆机械密闭装置的维护，确保设备正常使用，运输途中的物料不得沿途泄漏、散落或者飞扬。</w:t>
            </w:r>
          </w:p>
          <w:p w14:paraId="198A9BAB">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rPr>
              <w:t>装卸、运输易产生扬尘污染的物料的船舶应当采取覆盖措施。</w:t>
            </w:r>
          </w:p>
          <w:p w14:paraId="016F4810">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bCs/>
                <w:color w:val="000000"/>
                <w:sz w:val="21"/>
                <w:szCs w:val="21"/>
              </w:rPr>
              <w:t>第五十七条</w:t>
            </w:r>
            <w:r>
              <w:rPr>
                <w:rFonts w:hint="default" w:ascii="Times New Roman" w:hAnsi="Times New Roman" w:cs="Times New Roman" w:eastAsiaTheme="minorEastAsia"/>
                <w:b w:val="0"/>
                <w:bCs w:val="0"/>
                <w:color w:val="000000"/>
                <w:sz w:val="21"/>
                <w:szCs w:val="21"/>
              </w:rPr>
              <w:t xml:space="preserve"> 堆放易产生扬尘污染的物料的港口、码头、堆场、混凝土搅拌站和露天仓库等场所应当采取围挡、遮盖、密闭和其他防治扬尘污染的措施，并符合下列防尘要求：</w:t>
            </w:r>
          </w:p>
          <w:p w14:paraId="369481FD">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lang w:eastAsia="zh-CN"/>
              </w:rPr>
              <w:t>（</w:t>
            </w:r>
            <w:r>
              <w:rPr>
                <w:rFonts w:hint="default" w:ascii="Times New Roman" w:hAnsi="Times New Roman" w:cs="Times New Roman" w:eastAsiaTheme="minorEastAsia"/>
                <w:b w:val="0"/>
                <w:bCs w:val="0"/>
                <w:color w:val="000000"/>
                <w:sz w:val="21"/>
                <w:szCs w:val="21"/>
              </w:rPr>
              <w:t>一</w:t>
            </w:r>
            <w:r>
              <w:rPr>
                <w:rFonts w:hint="default" w:ascii="Times New Roman" w:hAnsi="Times New Roman" w:cs="Times New Roman" w:eastAsiaTheme="minorEastAsia"/>
                <w:b w:val="0"/>
                <w:bCs w:val="0"/>
                <w:color w:val="000000"/>
                <w:sz w:val="21"/>
                <w:szCs w:val="21"/>
                <w:lang w:eastAsia="zh-CN"/>
              </w:rPr>
              <w:t>）</w:t>
            </w:r>
            <w:r>
              <w:rPr>
                <w:rFonts w:hint="default" w:ascii="Times New Roman" w:hAnsi="Times New Roman" w:cs="Times New Roman" w:eastAsiaTheme="minorEastAsia"/>
                <w:b w:val="0"/>
                <w:bCs w:val="0"/>
                <w:color w:val="000000"/>
                <w:sz w:val="21"/>
                <w:szCs w:val="21"/>
              </w:rPr>
              <w:t>地面进行硬化处理</w:t>
            </w:r>
            <w:r>
              <w:rPr>
                <w:rFonts w:hint="default" w:ascii="Times New Roman" w:hAnsi="Times New Roman" w:cs="Times New Roman" w:eastAsiaTheme="minorEastAsia"/>
                <w:b w:val="0"/>
                <w:bCs w:val="0"/>
                <w:color w:val="000000"/>
                <w:sz w:val="21"/>
                <w:szCs w:val="21"/>
                <w:lang w:eastAsia="zh-CN"/>
              </w:rPr>
              <w:t>；</w:t>
            </w:r>
          </w:p>
          <w:p w14:paraId="54409597">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lang w:eastAsia="zh-CN"/>
              </w:rPr>
              <w:t>（</w:t>
            </w:r>
            <w:r>
              <w:rPr>
                <w:rFonts w:hint="default" w:ascii="Times New Roman" w:hAnsi="Times New Roman" w:cs="Times New Roman" w:eastAsiaTheme="minorEastAsia"/>
                <w:b w:val="0"/>
                <w:bCs w:val="0"/>
                <w:color w:val="000000"/>
                <w:sz w:val="21"/>
                <w:szCs w:val="21"/>
              </w:rPr>
              <w:t>二</w:t>
            </w:r>
            <w:r>
              <w:rPr>
                <w:rFonts w:hint="default" w:ascii="Times New Roman" w:hAnsi="Times New Roman" w:cs="Times New Roman" w:eastAsiaTheme="minorEastAsia"/>
                <w:b w:val="0"/>
                <w:bCs w:val="0"/>
                <w:color w:val="000000"/>
                <w:sz w:val="21"/>
                <w:szCs w:val="21"/>
                <w:lang w:eastAsia="zh-CN"/>
              </w:rPr>
              <w:t>）</w:t>
            </w:r>
            <w:r>
              <w:rPr>
                <w:rFonts w:hint="default" w:ascii="Times New Roman" w:hAnsi="Times New Roman" w:cs="Times New Roman" w:eastAsiaTheme="minorEastAsia"/>
                <w:b w:val="0"/>
                <w:bCs w:val="0"/>
                <w:color w:val="000000"/>
                <w:sz w:val="21"/>
                <w:szCs w:val="21"/>
              </w:rPr>
              <w:t>采用混凝土围墙或者天棚储库，库内配备喷淋或者其他抑尘措施</w:t>
            </w:r>
            <w:r>
              <w:rPr>
                <w:rFonts w:hint="default" w:ascii="Times New Roman" w:hAnsi="Times New Roman" w:cs="Times New Roman" w:eastAsiaTheme="minorEastAsia"/>
                <w:b w:val="0"/>
                <w:bCs w:val="0"/>
                <w:color w:val="000000"/>
                <w:sz w:val="21"/>
                <w:szCs w:val="21"/>
                <w:lang w:eastAsia="zh-CN"/>
              </w:rPr>
              <w:t>；</w:t>
            </w:r>
          </w:p>
          <w:p w14:paraId="7BD2F3B1">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lang w:eastAsia="zh-CN"/>
              </w:rPr>
              <w:t>（</w:t>
            </w:r>
            <w:r>
              <w:rPr>
                <w:rFonts w:hint="default" w:ascii="Times New Roman" w:hAnsi="Times New Roman" w:cs="Times New Roman" w:eastAsiaTheme="minorEastAsia"/>
                <w:b w:val="0"/>
                <w:bCs w:val="0"/>
                <w:color w:val="000000"/>
                <w:sz w:val="21"/>
                <w:szCs w:val="21"/>
              </w:rPr>
              <w:t>三</w:t>
            </w:r>
            <w:r>
              <w:rPr>
                <w:rFonts w:hint="default" w:ascii="Times New Roman" w:hAnsi="Times New Roman" w:cs="Times New Roman" w:eastAsiaTheme="minorEastAsia"/>
                <w:b w:val="0"/>
                <w:bCs w:val="0"/>
                <w:color w:val="000000"/>
                <w:sz w:val="21"/>
                <w:szCs w:val="21"/>
                <w:lang w:eastAsia="zh-CN"/>
              </w:rPr>
              <w:t>）</w:t>
            </w:r>
            <w:r>
              <w:rPr>
                <w:rFonts w:hint="default" w:ascii="Times New Roman" w:hAnsi="Times New Roman" w:cs="Times New Roman" w:eastAsiaTheme="minorEastAsia"/>
                <w:b w:val="0"/>
                <w:bCs w:val="0"/>
                <w:color w:val="000000"/>
                <w:sz w:val="21"/>
                <w:szCs w:val="21"/>
              </w:rPr>
              <w:t>采用输送设备作业的，应当在落料、卸料处配备吸尘、喷淋等防尘设施，并保持防尘设施的正常使用</w:t>
            </w:r>
            <w:r>
              <w:rPr>
                <w:rFonts w:hint="default" w:ascii="Times New Roman" w:hAnsi="Times New Roman" w:cs="Times New Roman" w:eastAsiaTheme="minorEastAsia"/>
                <w:b w:val="0"/>
                <w:bCs w:val="0"/>
                <w:color w:val="000000"/>
                <w:sz w:val="21"/>
                <w:szCs w:val="21"/>
                <w:lang w:eastAsia="zh-CN"/>
              </w:rPr>
              <w:t>；</w:t>
            </w:r>
          </w:p>
          <w:p w14:paraId="1E53C113">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lang w:eastAsia="zh-CN"/>
              </w:rPr>
              <w:t>（</w:t>
            </w:r>
            <w:r>
              <w:rPr>
                <w:rFonts w:hint="default" w:ascii="Times New Roman" w:hAnsi="Times New Roman" w:cs="Times New Roman" w:eastAsiaTheme="minorEastAsia"/>
                <w:b w:val="0"/>
                <w:bCs w:val="0"/>
                <w:color w:val="000000"/>
                <w:sz w:val="21"/>
                <w:szCs w:val="21"/>
              </w:rPr>
              <w:t>四</w:t>
            </w:r>
            <w:r>
              <w:rPr>
                <w:rFonts w:hint="default" w:ascii="Times New Roman" w:hAnsi="Times New Roman" w:cs="Times New Roman" w:eastAsiaTheme="minorEastAsia"/>
                <w:b w:val="0"/>
                <w:bCs w:val="0"/>
                <w:color w:val="000000"/>
                <w:sz w:val="21"/>
                <w:szCs w:val="21"/>
                <w:lang w:eastAsia="zh-CN"/>
              </w:rPr>
              <w:t>）</w:t>
            </w:r>
            <w:r>
              <w:rPr>
                <w:rFonts w:hint="default" w:ascii="Times New Roman" w:hAnsi="Times New Roman" w:cs="Times New Roman" w:eastAsiaTheme="minorEastAsia"/>
                <w:b w:val="0"/>
                <w:bCs w:val="0"/>
                <w:color w:val="000000"/>
                <w:sz w:val="21"/>
                <w:szCs w:val="21"/>
              </w:rPr>
              <w:t>在出口处设置车辆清洗的专用场地，配备运输车辆冲洗保洁设施</w:t>
            </w:r>
            <w:r>
              <w:rPr>
                <w:rFonts w:hint="default" w:ascii="Times New Roman" w:hAnsi="Times New Roman" w:cs="Times New Roman" w:eastAsiaTheme="minorEastAsia"/>
                <w:b w:val="0"/>
                <w:bCs w:val="0"/>
                <w:color w:val="000000"/>
                <w:sz w:val="21"/>
                <w:szCs w:val="21"/>
                <w:lang w:eastAsia="zh-CN"/>
              </w:rPr>
              <w:t>；</w:t>
            </w:r>
          </w:p>
          <w:p w14:paraId="243D233F">
            <w:pPr>
              <w:keepNext w:val="0"/>
              <w:keepLines w:val="0"/>
              <w:pageBreakBefore w:val="0"/>
              <w:kinsoku/>
              <w:wordWrap/>
              <w:overflowPunct/>
              <w:topLinePunct w:val="0"/>
              <w:bidi w:val="0"/>
              <w:adjustRightInd w:val="0"/>
              <w:snapToGrid w:val="0"/>
              <w:spacing w:line="240" w:lineRule="auto"/>
              <w:ind w:firstLine="0" w:firstLineChars="0"/>
              <w:jc w:val="both"/>
              <w:textAlignment w:val="center"/>
              <w:rPr>
                <w:rFonts w:hint="default" w:ascii="Times New Roman" w:hAnsi="Times New Roman" w:cs="Times New Roman" w:eastAsiaTheme="minorEastAsia"/>
                <w:b w:val="0"/>
                <w:bCs w:val="0"/>
                <w:color w:val="000000"/>
                <w:sz w:val="21"/>
                <w:szCs w:val="21"/>
              </w:rPr>
            </w:pPr>
            <w:r>
              <w:rPr>
                <w:rFonts w:hint="default" w:ascii="Times New Roman" w:hAnsi="Times New Roman" w:cs="Times New Roman" w:eastAsiaTheme="minorEastAsia"/>
                <w:b w:val="0"/>
                <w:bCs w:val="0"/>
                <w:color w:val="000000"/>
                <w:sz w:val="21"/>
                <w:szCs w:val="21"/>
                <w:lang w:eastAsia="zh-CN"/>
              </w:rPr>
              <w:t>（</w:t>
            </w:r>
            <w:r>
              <w:rPr>
                <w:rFonts w:hint="default" w:ascii="Times New Roman" w:hAnsi="Times New Roman" w:cs="Times New Roman" w:eastAsiaTheme="minorEastAsia"/>
                <w:b w:val="0"/>
                <w:bCs w:val="0"/>
                <w:color w:val="000000"/>
                <w:sz w:val="21"/>
                <w:szCs w:val="21"/>
              </w:rPr>
              <w:t>五</w:t>
            </w:r>
            <w:r>
              <w:rPr>
                <w:rFonts w:hint="default" w:ascii="Times New Roman" w:hAnsi="Times New Roman" w:cs="Times New Roman" w:eastAsiaTheme="minorEastAsia"/>
                <w:b w:val="0"/>
                <w:bCs w:val="0"/>
                <w:color w:val="000000"/>
                <w:sz w:val="21"/>
                <w:szCs w:val="21"/>
                <w:lang w:eastAsia="zh-CN"/>
              </w:rPr>
              <w:t>）</w:t>
            </w:r>
            <w:r>
              <w:rPr>
                <w:rFonts w:hint="default" w:ascii="Times New Roman" w:hAnsi="Times New Roman" w:cs="Times New Roman" w:eastAsiaTheme="minorEastAsia"/>
                <w:b w:val="0"/>
                <w:bCs w:val="0"/>
                <w:color w:val="000000"/>
                <w:sz w:val="21"/>
                <w:szCs w:val="21"/>
              </w:rPr>
              <w:t>划分料区和道路界限，及时清除散落的物料，保持道路整洁，并及时清洗。</w:t>
            </w:r>
          </w:p>
        </w:tc>
      </w:tr>
      <w:tr w14:paraId="0652183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16" w:hRule="atLeast"/>
        </w:trPr>
        <w:tc>
          <w:tcPr>
            <w:tcW w:w="1896" w:type="pct"/>
            <w:tcBorders>
              <w:tl2br w:val="nil"/>
              <w:tr2bl w:val="nil"/>
            </w:tcBorders>
            <w:shd w:val="clear" w:color="auto" w:fill="D7D7D7" w:themeFill="background1" w:themeFillShade="D8"/>
            <w:noWrap w:val="0"/>
            <w:vAlign w:val="center"/>
          </w:tcPr>
          <w:p w14:paraId="68FF56AE">
            <w:pPr>
              <w:keepNext w:val="0"/>
              <w:keepLines w:val="0"/>
              <w:pageBreakBefore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cs="Times New Roman" w:eastAsiaTheme="minorEastAsia"/>
                <w:b/>
                <w:bCs/>
                <w:color w:val="000000"/>
                <w:sz w:val="21"/>
                <w:szCs w:val="21"/>
                <w:lang w:val="en-US" w:eastAsia="zh-CN"/>
              </w:rPr>
            </w:pPr>
            <w:r>
              <w:rPr>
                <w:rFonts w:hint="default" w:ascii="Times New Roman" w:hAnsi="Times New Roman" w:cs="Times New Roman" w:eastAsiaTheme="minorEastAsia"/>
                <w:b/>
                <w:bCs/>
                <w:color w:val="000000"/>
                <w:sz w:val="21"/>
                <w:szCs w:val="21"/>
                <w:lang w:val="en-US" w:eastAsia="zh-CN"/>
              </w:rPr>
              <w:t>标准规范</w:t>
            </w:r>
          </w:p>
        </w:tc>
        <w:tc>
          <w:tcPr>
            <w:tcW w:w="3103" w:type="pct"/>
            <w:tcBorders>
              <w:tl2br w:val="nil"/>
              <w:tr2bl w:val="nil"/>
            </w:tcBorders>
            <w:shd w:val="clear" w:color="auto" w:fill="D7D7D7" w:themeFill="background1" w:themeFillShade="D8"/>
            <w:noWrap w:val="0"/>
            <w:vAlign w:val="center"/>
          </w:tcPr>
          <w:p w14:paraId="55358DBE">
            <w:pPr>
              <w:keepNext w:val="0"/>
              <w:keepLines w:val="0"/>
              <w:pageBreakBefore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cs="Times New Roman" w:eastAsiaTheme="minorEastAsia"/>
                <w:b/>
                <w:bCs/>
                <w:color w:val="000000"/>
                <w:sz w:val="21"/>
                <w:szCs w:val="21"/>
                <w:lang w:val="en-US" w:eastAsia="zh-CN"/>
              </w:rPr>
            </w:pPr>
            <w:r>
              <w:rPr>
                <w:rFonts w:hint="default" w:ascii="Times New Roman" w:hAnsi="Times New Roman" w:cs="Times New Roman" w:eastAsiaTheme="minorEastAsia"/>
                <w:b/>
                <w:bCs/>
                <w:color w:val="000000"/>
                <w:sz w:val="21"/>
                <w:szCs w:val="21"/>
                <w:lang w:val="en-US" w:eastAsia="zh-CN"/>
              </w:rPr>
              <w:t>相关内容</w:t>
            </w:r>
          </w:p>
        </w:tc>
      </w:tr>
      <w:tr w14:paraId="0323004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1238" w:hRule="atLeast"/>
        </w:trPr>
        <w:tc>
          <w:tcPr>
            <w:tcW w:w="1896" w:type="pct"/>
            <w:tcBorders>
              <w:tl2br w:val="nil"/>
              <w:tr2bl w:val="nil"/>
            </w:tcBorders>
            <w:shd w:val="clear" w:color="auto" w:fill="auto"/>
            <w:noWrap w:val="0"/>
            <w:vAlign w:val="center"/>
          </w:tcPr>
          <w:p w14:paraId="33C58398">
            <w:pPr>
              <w:keepNext w:val="0"/>
              <w:keepLines w:val="0"/>
              <w:pageBreakBefore w:val="0"/>
              <w:kinsoku/>
              <w:wordWrap/>
              <w:overflowPunct/>
              <w:topLinePunct w:val="0"/>
              <w:bidi w:val="0"/>
              <w:adjustRightInd w:val="0"/>
              <w:snapToGrid w:val="0"/>
              <w:spacing w:line="240" w:lineRule="auto"/>
              <w:ind w:firstLine="0" w:firstLineChars="0"/>
              <w:jc w:val="left"/>
              <w:textAlignment w:val="center"/>
              <w:rPr>
                <w:rFonts w:hint="default" w:ascii="Times New Roman" w:hAnsi="Times New Roman" w:cs="Times New Roman" w:eastAsiaTheme="minorEastAsia"/>
                <w:b/>
                <w:bCs/>
                <w:color w:val="000000"/>
                <w:sz w:val="21"/>
                <w:szCs w:val="21"/>
                <w:lang w:val="en-US" w:eastAsia="zh-CN"/>
              </w:rPr>
            </w:pPr>
            <w:r>
              <w:rPr>
                <w:rFonts w:hint="default" w:ascii="Times New Roman" w:hAnsi="Times New Roman" w:cs="Times New Roman" w:eastAsiaTheme="minorEastAsia"/>
                <w:b/>
                <w:bCs/>
                <w:color w:val="000000"/>
                <w:lang w:eastAsia="zh-CN"/>
              </w:rPr>
              <w:t>《水运工程环境保护设计规范》（JTS 149-2018）</w:t>
            </w:r>
          </w:p>
        </w:tc>
        <w:tc>
          <w:tcPr>
            <w:tcW w:w="3103" w:type="pct"/>
            <w:tcBorders>
              <w:tl2br w:val="nil"/>
              <w:tr2bl w:val="nil"/>
            </w:tcBorders>
            <w:shd w:val="clear" w:color="auto" w:fill="auto"/>
            <w:noWrap w:val="0"/>
            <w:vAlign w:val="center"/>
          </w:tcPr>
          <w:p w14:paraId="4580F29A">
            <w:pPr>
              <w:keepNext w:val="0"/>
              <w:keepLines w:val="0"/>
              <w:pageBreakBefore w:val="0"/>
              <w:kinsoku/>
              <w:wordWrap/>
              <w:overflowPunct/>
              <w:topLinePunct w:val="0"/>
              <w:bidi w:val="0"/>
              <w:adjustRightInd w:val="0"/>
              <w:snapToGrid w:val="0"/>
              <w:spacing w:line="240" w:lineRule="auto"/>
              <w:ind w:firstLine="0" w:firstLineChars="0"/>
              <w:jc w:val="left"/>
              <w:textAlignment w:val="center"/>
              <w:rPr>
                <w:rFonts w:hint="default" w:ascii="Times New Roman" w:hAnsi="Times New Roman" w:cs="Times New Roman" w:eastAsiaTheme="minorEastAsia"/>
                <w:b w:val="0"/>
                <w:bCs w:val="0"/>
                <w:color w:val="000000"/>
                <w:sz w:val="21"/>
                <w:szCs w:val="21"/>
                <w:lang w:val="en-US" w:eastAsia="zh-CN"/>
              </w:rPr>
            </w:pPr>
            <w:r>
              <w:rPr>
                <w:rFonts w:hint="default" w:ascii="Times New Roman" w:hAnsi="Times New Roman" w:cs="Times New Roman" w:eastAsiaTheme="minorEastAsia"/>
                <w:b w:val="0"/>
                <w:bCs w:val="0"/>
                <w:color w:val="000000"/>
                <w:sz w:val="21"/>
                <w:szCs w:val="21"/>
                <w:lang w:val="en-US" w:eastAsia="zh-CN"/>
              </w:rPr>
              <w:t>主要参照章节：</w:t>
            </w:r>
          </w:p>
          <w:p w14:paraId="71488860">
            <w:pPr>
              <w:keepNext w:val="0"/>
              <w:keepLines w:val="0"/>
              <w:pageBreakBefore w:val="0"/>
              <w:numPr>
                <w:ilvl w:val="0"/>
                <w:numId w:val="0"/>
              </w:numPr>
              <w:kinsoku/>
              <w:wordWrap/>
              <w:overflowPunct/>
              <w:topLinePunct w:val="0"/>
              <w:bidi w:val="0"/>
              <w:adjustRightInd w:val="0"/>
              <w:snapToGrid w:val="0"/>
              <w:spacing w:line="240" w:lineRule="auto"/>
              <w:jc w:val="left"/>
              <w:textAlignment w:val="center"/>
              <w:rPr>
                <w:rFonts w:hint="default" w:ascii="Times New Roman" w:hAnsi="Times New Roman" w:cs="Times New Roman" w:eastAsiaTheme="minorEastAsia"/>
                <w:b w:val="0"/>
                <w:bCs w:val="0"/>
                <w:color w:val="000000"/>
                <w:sz w:val="21"/>
                <w:szCs w:val="21"/>
                <w:lang w:val="en-US" w:eastAsia="zh-CN"/>
              </w:rPr>
            </w:pPr>
            <w:r>
              <w:rPr>
                <w:rFonts w:hint="default" w:ascii="Times New Roman" w:hAnsi="Times New Roman" w:cs="Times New Roman" w:eastAsiaTheme="minorEastAsia"/>
                <w:b w:val="0"/>
                <w:bCs w:val="0"/>
                <w:color w:val="000000"/>
                <w:sz w:val="21"/>
                <w:szCs w:val="21"/>
                <w:lang w:val="en-US" w:eastAsia="zh-CN"/>
              </w:rPr>
              <w:t>5 粉尘和废气</w:t>
            </w:r>
          </w:p>
          <w:p w14:paraId="4961B05A">
            <w:pPr>
              <w:keepNext w:val="0"/>
              <w:keepLines w:val="0"/>
              <w:pageBreakBefore w:val="0"/>
              <w:numPr>
                <w:ilvl w:val="0"/>
                <w:numId w:val="0"/>
              </w:numPr>
              <w:kinsoku/>
              <w:wordWrap/>
              <w:overflowPunct/>
              <w:topLinePunct w:val="0"/>
              <w:bidi w:val="0"/>
              <w:adjustRightInd w:val="0"/>
              <w:snapToGrid w:val="0"/>
              <w:spacing w:line="240" w:lineRule="auto"/>
              <w:jc w:val="left"/>
              <w:textAlignment w:val="center"/>
              <w:rPr>
                <w:rFonts w:hint="default" w:ascii="Times New Roman" w:hAnsi="Times New Roman" w:cs="Times New Roman" w:eastAsiaTheme="minorEastAsia"/>
                <w:b w:val="0"/>
                <w:bCs w:val="0"/>
                <w:color w:val="000000"/>
                <w:sz w:val="21"/>
                <w:szCs w:val="21"/>
                <w:lang w:val="en-US" w:eastAsia="zh-CN"/>
              </w:rPr>
            </w:pPr>
            <w:r>
              <w:rPr>
                <w:rFonts w:hint="default" w:ascii="Times New Roman" w:hAnsi="Times New Roman" w:cs="Times New Roman" w:eastAsiaTheme="minorEastAsia"/>
                <w:b w:val="0"/>
                <w:bCs w:val="0"/>
                <w:color w:val="000000"/>
                <w:sz w:val="21"/>
                <w:szCs w:val="21"/>
                <w:lang w:val="en-US" w:eastAsia="zh-CN"/>
              </w:rPr>
              <w:t>5.1 一般规定</w:t>
            </w:r>
          </w:p>
          <w:p w14:paraId="2A3F61A6">
            <w:pPr>
              <w:keepNext w:val="0"/>
              <w:keepLines w:val="0"/>
              <w:pageBreakBefore w:val="0"/>
              <w:numPr>
                <w:ilvl w:val="0"/>
                <w:numId w:val="0"/>
              </w:numPr>
              <w:kinsoku/>
              <w:wordWrap/>
              <w:overflowPunct/>
              <w:topLinePunct w:val="0"/>
              <w:bidi w:val="0"/>
              <w:adjustRightInd w:val="0"/>
              <w:snapToGrid w:val="0"/>
              <w:spacing w:line="240" w:lineRule="auto"/>
              <w:jc w:val="left"/>
              <w:textAlignment w:val="center"/>
              <w:rPr>
                <w:rFonts w:hint="default" w:ascii="Times New Roman" w:hAnsi="Times New Roman" w:cs="Times New Roman" w:eastAsiaTheme="minorEastAsia"/>
                <w:b w:val="0"/>
                <w:bCs w:val="0"/>
                <w:color w:val="000000"/>
                <w:sz w:val="21"/>
                <w:szCs w:val="21"/>
                <w:lang w:val="en-US" w:eastAsia="zh-CN"/>
              </w:rPr>
            </w:pPr>
            <w:r>
              <w:rPr>
                <w:rFonts w:hint="default" w:ascii="Times New Roman" w:hAnsi="Times New Roman" w:cs="Times New Roman" w:eastAsiaTheme="minorEastAsia"/>
                <w:b w:val="0"/>
                <w:bCs w:val="0"/>
                <w:color w:val="000000"/>
                <w:sz w:val="21"/>
                <w:szCs w:val="21"/>
                <w:lang w:val="en-US" w:eastAsia="zh-CN"/>
              </w:rPr>
              <w:t>5.2 粉尘</w:t>
            </w:r>
          </w:p>
        </w:tc>
      </w:tr>
      <w:tr w14:paraId="7DD64BA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1248" w:hRule="atLeast"/>
        </w:trPr>
        <w:tc>
          <w:tcPr>
            <w:tcW w:w="1896" w:type="pct"/>
            <w:tcBorders>
              <w:tl2br w:val="nil"/>
              <w:tr2bl w:val="nil"/>
            </w:tcBorders>
            <w:shd w:val="clear" w:color="auto" w:fill="auto"/>
            <w:noWrap w:val="0"/>
            <w:vAlign w:val="center"/>
          </w:tcPr>
          <w:p w14:paraId="26937028">
            <w:pPr>
              <w:keepNext w:val="0"/>
              <w:keepLines w:val="0"/>
              <w:pageBreakBefore w:val="0"/>
              <w:kinsoku/>
              <w:wordWrap/>
              <w:overflowPunct/>
              <w:topLinePunct w:val="0"/>
              <w:bidi w:val="0"/>
              <w:adjustRightInd w:val="0"/>
              <w:snapToGrid w:val="0"/>
              <w:spacing w:line="240" w:lineRule="auto"/>
              <w:ind w:firstLine="0" w:firstLineChars="0"/>
              <w:jc w:val="left"/>
              <w:textAlignment w:val="center"/>
              <w:rPr>
                <w:rFonts w:hint="default" w:ascii="Times New Roman" w:hAnsi="Times New Roman" w:cs="Times New Roman" w:eastAsiaTheme="minorEastAsia"/>
                <w:b/>
                <w:bCs/>
                <w:color w:val="000000"/>
                <w:lang w:eastAsia="zh-CN"/>
              </w:rPr>
            </w:pPr>
            <w:r>
              <w:rPr>
                <w:rFonts w:hint="default" w:ascii="Times New Roman" w:hAnsi="Times New Roman" w:cs="Times New Roman" w:eastAsiaTheme="minorEastAsia"/>
                <w:b/>
                <w:bCs/>
                <w:color w:val="000000"/>
                <w:highlight w:val="none"/>
                <w:lang w:eastAsia="zh-CN"/>
              </w:rPr>
              <w:t>《煤炭矿石码头粉尘控制设计规范》（JTS/T 156</w:t>
            </w:r>
            <w:r>
              <w:rPr>
                <w:rFonts w:hint="default" w:ascii="Times New Roman" w:hAnsi="Times New Roman" w:cs="Times New Roman" w:eastAsiaTheme="minorEastAsia"/>
                <w:b/>
                <w:bCs/>
                <w:color w:val="000000"/>
                <w:highlight w:val="none"/>
                <w:lang w:val="en-US" w:eastAsia="zh-CN"/>
              </w:rPr>
              <w:t>-</w:t>
            </w:r>
            <w:r>
              <w:rPr>
                <w:rFonts w:hint="default" w:ascii="Times New Roman" w:hAnsi="Times New Roman" w:cs="Times New Roman" w:eastAsiaTheme="minorEastAsia"/>
                <w:b/>
                <w:bCs/>
                <w:color w:val="000000"/>
                <w:highlight w:val="none"/>
                <w:lang w:eastAsia="zh-CN"/>
              </w:rPr>
              <w:t>2024）</w:t>
            </w:r>
          </w:p>
        </w:tc>
        <w:tc>
          <w:tcPr>
            <w:tcW w:w="3103" w:type="pct"/>
            <w:tcBorders>
              <w:tl2br w:val="nil"/>
              <w:tr2bl w:val="nil"/>
            </w:tcBorders>
            <w:shd w:val="clear" w:color="auto" w:fill="auto"/>
            <w:noWrap w:val="0"/>
            <w:vAlign w:val="center"/>
          </w:tcPr>
          <w:p w14:paraId="1491294C">
            <w:pPr>
              <w:keepNext w:val="0"/>
              <w:keepLines w:val="0"/>
              <w:pageBreakBefore w:val="0"/>
              <w:kinsoku/>
              <w:wordWrap/>
              <w:overflowPunct/>
              <w:topLinePunct w:val="0"/>
              <w:bidi w:val="0"/>
              <w:adjustRightInd w:val="0"/>
              <w:snapToGrid w:val="0"/>
              <w:spacing w:line="240" w:lineRule="auto"/>
              <w:ind w:firstLine="0" w:firstLineChars="0"/>
              <w:jc w:val="left"/>
              <w:textAlignment w:val="center"/>
              <w:rPr>
                <w:rFonts w:hint="default" w:ascii="Times New Roman" w:hAnsi="Times New Roman" w:cs="Times New Roman" w:eastAsiaTheme="minorEastAsia"/>
                <w:b w:val="0"/>
                <w:bCs w:val="0"/>
                <w:color w:val="000000"/>
                <w:sz w:val="21"/>
                <w:szCs w:val="21"/>
                <w:lang w:val="en-US" w:eastAsia="zh-CN"/>
              </w:rPr>
            </w:pPr>
            <w:r>
              <w:rPr>
                <w:rFonts w:hint="default" w:ascii="Times New Roman" w:hAnsi="Times New Roman" w:cs="Times New Roman" w:eastAsiaTheme="minorEastAsia"/>
                <w:b w:val="0"/>
                <w:bCs w:val="0"/>
                <w:color w:val="000000"/>
                <w:sz w:val="21"/>
                <w:szCs w:val="21"/>
                <w:lang w:val="en-US" w:eastAsia="zh-CN"/>
              </w:rPr>
              <w:t>主要参照章节：</w:t>
            </w:r>
          </w:p>
          <w:p w14:paraId="4CC8B047">
            <w:pPr>
              <w:keepNext w:val="0"/>
              <w:keepLines w:val="0"/>
              <w:pageBreakBefore w:val="0"/>
              <w:kinsoku/>
              <w:wordWrap/>
              <w:overflowPunct/>
              <w:topLinePunct w:val="0"/>
              <w:bidi w:val="0"/>
              <w:adjustRightInd w:val="0"/>
              <w:snapToGrid w:val="0"/>
              <w:spacing w:line="240" w:lineRule="auto"/>
              <w:ind w:firstLine="0" w:firstLineChars="0"/>
              <w:jc w:val="left"/>
              <w:textAlignment w:val="center"/>
              <w:rPr>
                <w:rFonts w:hint="default" w:ascii="Times New Roman" w:hAnsi="Times New Roman" w:cs="Times New Roman" w:eastAsiaTheme="minorEastAsia"/>
                <w:b w:val="0"/>
                <w:bCs w:val="0"/>
                <w:color w:val="000000"/>
                <w:sz w:val="21"/>
                <w:szCs w:val="21"/>
                <w:lang w:val="en-US" w:eastAsia="zh-CN"/>
              </w:rPr>
            </w:pPr>
            <w:r>
              <w:rPr>
                <w:rFonts w:hint="default" w:ascii="Times New Roman" w:hAnsi="Times New Roman" w:cs="Times New Roman" w:eastAsiaTheme="minorEastAsia"/>
                <w:b w:val="0"/>
                <w:bCs w:val="0"/>
                <w:color w:val="000000"/>
                <w:sz w:val="21"/>
                <w:szCs w:val="21"/>
                <w:lang w:val="en-US" w:eastAsia="zh-CN"/>
              </w:rPr>
              <w:t>5 装卸设备粉尘控制</w:t>
            </w:r>
          </w:p>
          <w:p w14:paraId="0FFEB755">
            <w:pPr>
              <w:keepNext w:val="0"/>
              <w:keepLines w:val="0"/>
              <w:pageBreakBefore w:val="0"/>
              <w:kinsoku/>
              <w:wordWrap/>
              <w:overflowPunct/>
              <w:topLinePunct w:val="0"/>
              <w:bidi w:val="0"/>
              <w:adjustRightInd w:val="0"/>
              <w:snapToGrid w:val="0"/>
              <w:spacing w:line="240" w:lineRule="auto"/>
              <w:ind w:firstLine="0" w:firstLineChars="0"/>
              <w:jc w:val="left"/>
              <w:textAlignment w:val="center"/>
              <w:rPr>
                <w:rFonts w:hint="default" w:ascii="Times New Roman" w:hAnsi="Times New Roman" w:cs="Times New Roman" w:eastAsiaTheme="minorEastAsia"/>
                <w:b w:val="0"/>
                <w:bCs w:val="0"/>
                <w:color w:val="000000"/>
                <w:sz w:val="21"/>
                <w:szCs w:val="21"/>
                <w:lang w:val="en-US" w:eastAsia="zh-CN"/>
              </w:rPr>
            </w:pPr>
            <w:r>
              <w:rPr>
                <w:rFonts w:hint="default" w:ascii="Times New Roman" w:hAnsi="Times New Roman" w:cs="Times New Roman" w:eastAsiaTheme="minorEastAsia"/>
                <w:b w:val="0"/>
                <w:bCs w:val="0"/>
                <w:color w:val="000000"/>
                <w:sz w:val="21"/>
                <w:szCs w:val="21"/>
                <w:lang w:val="en-US" w:eastAsia="zh-CN"/>
              </w:rPr>
              <w:t>6 堆场堆存粉尘控制</w:t>
            </w:r>
          </w:p>
          <w:p w14:paraId="3A03770F">
            <w:pPr>
              <w:keepNext w:val="0"/>
              <w:keepLines w:val="0"/>
              <w:pageBreakBefore w:val="0"/>
              <w:kinsoku/>
              <w:wordWrap/>
              <w:overflowPunct/>
              <w:topLinePunct w:val="0"/>
              <w:bidi w:val="0"/>
              <w:adjustRightInd w:val="0"/>
              <w:snapToGrid w:val="0"/>
              <w:spacing w:line="240" w:lineRule="auto"/>
              <w:ind w:firstLine="0" w:firstLineChars="0"/>
              <w:jc w:val="left"/>
              <w:textAlignment w:val="center"/>
              <w:rPr>
                <w:rFonts w:hint="default" w:ascii="Times New Roman" w:hAnsi="Times New Roman" w:cs="Times New Roman" w:eastAsiaTheme="minorEastAsia"/>
                <w:b w:val="0"/>
                <w:bCs w:val="0"/>
                <w:color w:val="000000"/>
                <w:sz w:val="21"/>
                <w:szCs w:val="21"/>
                <w:lang w:val="en-US" w:eastAsia="zh-CN"/>
              </w:rPr>
            </w:pPr>
            <w:r>
              <w:rPr>
                <w:rFonts w:hint="default" w:ascii="Times New Roman" w:hAnsi="Times New Roman" w:cs="Times New Roman" w:eastAsiaTheme="minorEastAsia"/>
                <w:b w:val="0"/>
                <w:bCs w:val="0"/>
                <w:color w:val="000000"/>
                <w:sz w:val="21"/>
                <w:szCs w:val="21"/>
                <w:lang w:val="en-US" w:eastAsia="zh-CN"/>
              </w:rPr>
              <w:t>7 厂内转运及道路粉尘控制</w:t>
            </w:r>
          </w:p>
        </w:tc>
      </w:tr>
    </w:tbl>
    <w:p w14:paraId="23A7371C">
      <w:pPr>
        <w:pStyle w:val="6"/>
        <w:keepNext w:val="0"/>
        <w:keepLines w:val="0"/>
        <w:pageBreakBefore w:val="0"/>
        <w:widowControl w:val="0"/>
        <w:kinsoku/>
        <w:wordWrap/>
        <w:overflowPunct/>
        <w:topLinePunct w:val="0"/>
        <w:autoSpaceDE w:val="0"/>
        <w:autoSpaceDN w:val="0"/>
        <w:bidi w:val="0"/>
        <w:adjustRightInd/>
        <w:snapToGrid/>
        <w:spacing w:before="0" w:beforeLines="100" w:line="363" w:lineRule="auto"/>
        <w:ind w:left="607" w:right="629" w:firstLine="482"/>
        <w:jc w:val="both"/>
        <w:textAlignment w:val="auto"/>
        <w:rPr>
          <w:rFonts w:hint="eastAsia" w:ascii="Times New Roman" w:hAnsi="Times New Roman" w:cs="Times New Roman"/>
          <w:lang w:val="en-US" w:eastAsia="zh-CN"/>
        </w:rPr>
      </w:pPr>
      <w:r>
        <w:rPr>
          <w:rFonts w:ascii="Times New Roman" w:hAnsi="Times New Roman" w:cs="Times New Roman"/>
          <w:lang w:eastAsia="zh-CN"/>
        </w:rPr>
        <w:t>为确保本</w:t>
      </w:r>
      <w:r>
        <w:rPr>
          <w:rFonts w:hint="eastAsia" w:ascii="Times New Roman" w:hAnsi="Times New Roman" w:cs="Times New Roman"/>
          <w:lang w:val="en-US" w:eastAsia="zh-CN"/>
        </w:rPr>
        <w:t>文件</w:t>
      </w:r>
      <w:r>
        <w:rPr>
          <w:rFonts w:ascii="Times New Roman" w:hAnsi="Times New Roman" w:cs="Times New Roman"/>
          <w:lang w:eastAsia="zh-CN"/>
        </w:rPr>
        <w:t>成果在全国干散货</w:t>
      </w:r>
      <w:r>
        <w:rPr>
          <w:rFonts w:hint="eastAsia" w:ascii="Times New Roman" w:hAnsi="Times New Roman" w:cs="Times New Roman"/>
          <w:lang w:val="en-US" w:eastAsia="zh-CN"/>
        </w:rPr>
        <w:t>港口</w:t>
      </w:r>
      <w:r>
        <w:rPr>
          <w:rFonts w:ascii="Times New Roman" w:hAnsi="Times New Roman" w:cs="Times New Roman"/>
          <w:lang w:eastAsia="zh-CN"/>
        </w:rPr>
        <w:t>行业具有广泛的适用性，本项目</w:t>
      </w:r>
      <w:r>
        <w:rPr>
          <w:rFonts w:hint="eastAsia" w:ascii="Times New Roman" w:hAnsi="Times New Roman" w:cs="Times New Roman"/>
          <w:lang w:val="en-US" w:eastAsia="zh-CN"/>
        </w:rPr>
        <w:t>启动之初，在全国范围内开展了广泛的实地踏勘和走访调研，包括大连港、营口港、唐山港、黄骅港、秦皇岛港、日照港等沿海港口及浙江杭州、嘉兴、绍兴、湖州、台州、温州和江苏镇江等内河港口，全面了解干散货颗粒物污染现状，以及针对干散货港口颗粒物污染所采取的针对性抑尘除尘措施。</w:t>
      </w:r>
    </w:p>
    <w:p w14:paraId="357FBB73">
      <w:pPr>
        <w:pStyle w:val="6"/>
        <w:spacing w:line="362" w:lineRule="auto"/>
        <w:ind w:left="609" w:right="632" w:firstLine="480"/>
        <w:jc w:val="both"/>
        <w:rPr>
          <w:rFonts w:hint="default" w:ascii="Times New Roman" w:hAnsi="Times New Roman" w:cs="Times New Roman"/>
          <w:lang w:val="en-US" w:eastAsia="zh-CN"/>
        </w:rPr>
      </w:pPr>
      <w:r>
        <w:rPr>
          <w:rFonts w:ascii="Times New Roman" w:hAnsi="Times New Roman" w:cs="Times New Roman"/>
          <w:lang w:eastAsia="zh-CN"/>
        </w:rPr>
        <w:t>在</w:t>
      </w:r>
      <w:r>
        <w:rPr>
          <w:rFonts w:hint="eastAsia" w:ascii="Times New Roman" w:hAnsi="Times New Roman" w:cs="Times New Roman"/>
          <w:lang w:val="en-US" w:eastAsia="zh-CN"/>
        </w:rPr>
        <w:t>现场调研的同时，广泛搜集并整理国家及地方现行法律法规、标准规范中针对散货港口颗粒物污染管控的相关条款和细则，按照干散货港口生产工艺各环节的产尘节点，对应梳理归纳相应的粉尘污染防治技术要求。</w:t>
      </w:r>
    </w:p>
    <w:p w14:paraId="68FC91F4">
      <w:pPr>
        <w:pStyle w:val="6"/>
        <w:spacing w:line="362" w:lineRule="auto"/>
        <w:ind w:left="609" w:right="632" w:firstLine="480"/>
        <w:jc w:val="both"/>
        <w:rPr>
          <w:rFonts w:hint="default" w:ascii="Times New Roman" w:hAnsi="Times New Roman" w:cs="Times New Roman"/>
          <w:lang w:val="en-US" w:eastAsia="zh-CN"/>
        </w:rPr>
      </w:pPr>
      <w:r>
        <w:rPr>
          <w:rFonts w:ascii="Times New Roman" w:hAnsi="Times New Roman" w:cs="Times New Roman"/>
          <w:lang w:eastAsia="zh-CN"/>
        </w:rPr>
        <w:t>本文件以国内最新的</w:t>
      </w:r>
      <w:r>
        <w:rPr>
          <w:rFonts w:hint="eastAsia" w:ascii="Times New Roman" w:hAnsi="Times New Roman" w:cs="Times New Roman"/>
          <w:lang w:val="en-US" w:eastAsia="zh-CN"/>
        </w:rPr>
        <w:t>法律法规、</w:t>
      </w:r>
      <w:r>
        <w:rPr>
          <w:rFonts w:ascii="Times New Roman" w:hAnsi="Times New Roman" w:cs="Times New Roman"/>
          <w:lang w:eastAsia="zh-CN"/>
        </w:rPr>
        <w:t>标准规范要求为依据，</w:t>
      </w:r>
      <w:r>
        <w:rPr>
          <w:rFonts w:hint="eastAsia" w:ascii="Times New Roman" w:hAnsi="Times New Roman" w:cs="Times New Roman"/>
          <w:lang w:val="en-US" w:eastAsia="zh-CN"/>
        </w:rPr>
        <w:t>综合考虑</w:t>
      </w:r>
      <w:r>
        <w:rPr>
          <w:rFonts w:ascii="Times New Roman" w:hAnsi="Times New Roman" w:cs="Times New Roman"/>
          <w:lang w:eastAsia="zh-CN"/>
        </w:rPr>
        <w:t>国内</w:t>
      </w:r>
      <w:r>
        <w:rPr>
          <w:rFonts w:hint="eastAsia" w:ascii="Times New Roman" w:hAnsi="Times New Roman" w:cs="Times New Roman"/>
          <w:lang w:val="en-US" w:eastAsia="zh-CN"/>
        </w:rPr>
        <w:t>各大干散货港口目前的粉尘污染防控水平和局限性，制定适用于干散货港口企业生产运营全流程的颗粒物污染管控细则。文件中涉及的干散货颗粒物管控的总体要求、装卸环节管控要求、输运环节管控要求、</w:t>
      </w:r>
      <w:r>
        <w:rPr>
          <w:rFonts w:hint="eastAsia" w:ascii="Times New Roman" w:hAnsi="Times New Roman" w:eastAsia="宋体" w:cs="Times New Roman"/>
          <w:lang w:eastAsia="zh-CN"/>
        </w:rPr>
        <w:t>堆取料环节管控要求、</w:t>
      </w:r>
      <w:r>
        <w:rPr>
          <w:rFonts w:hint="eastAsia" w:ascii="Times New Roman" w:hAnsi="Times New Roman" w:cs="Times New Roman"/>
          <w:lang w:val="en-US" w:eastAsia="zh-CN"/>
        </w:rPr>
        <w:t>堆存环节扬尘管控要求、</w:t>
      </w:r>
      <w:r>
        <w:rPr>
          <w:rFonts w:hint="eastAsia" w:ascii="Times New Roman" w:hAnsi="Times New Roman" w:eastAsia="宋体" w:cs="Times New Roman"/>
          <w:lang w:eastAsia="zh-CN"/>
        </w:rPr>
        <w:t>日常环境管理要求</w:t>
      </w:r>
      <w:r>
        <w:rPr>
          <w:rFonts w:hint="eastAsia" w:ascii="Times New Roman" w:hAnsi="Times New Roman" w:cs="Times New Roman"/>
          <w:lang w:val="en-US" w:eastAsia="zh-CN"/>
        </w:rPr>
        <w:t>等均为国内标准水平。</w:t>
      </w:r>
    </w:p>
    <w:p w14:paraId="1D99F6F7">
      <w:pPr>
        <w:pStyle w:val="2"/>
        <w:spacing w:before="240" w:afterLines="50"/>
        <w:ind w:left="607"/>
        <w:rPr>
          <w:rFonts w:ascii="Times New Roman" w:hAnsi="Times New Roman" w:eastAsia="黑体" w:cs="Times New Roman"/>
          <w:spacing w:val="-2"/>
          <w:sz w:val="28"/>
          <w:szCs w:val="28"/>
          <w:lang w:eastAsia="zh-CN"/>
        </w:rPr>
      </w:pPr>
      <w:bookmarkStart w:id="9" w:name="五、与有关的现行法律、法规和强制性标准的关系"/>
      <w:bookmarkEnd w:id="9"/>
      <w:bookmarkStart w:id="10" w:name="_bookmark4"/>
      <w:bookmarkEnd w:id="10"/>
      <w:bookmarkStart w:id="11" w:name="_Toc12998"/>
      <w:r>
        <w:rPr>
          <w:rFonts w:ascii="Times New Roman" w:hAnsi="Times New Roman" w:eastAsia="黑体" w:cs="Times New Roman"/>
          <w:spacing w:val="-2"/>
          <w:sz w:val="28"/>
          <w:szCs w:val="28"/>
          <w:lang w:eastAsia="zh-CN"/>
        </w:rPr>
        <w:t>五、与我国有关的现行法律、法规和强制性标准的关系</w:t>
      </w:r>
      <w:bookmarkEnd w:id="11"/>
    </w:p>
    <w:p w14:paraId="29863CED">
      <w:pPr>
        <w:pStyle w:val="6"/>
        <w:spacing w:before="240" w:line="362" w:lineRule="auto"/>
        <w:ind w:left="609" w:right="632" w:firstLine="480"/>
        <w:jc w:val="both"/>
        <w:rPr>
          <w:rFonts w:ascii="Times New Roman" w:hAnsi="Times New Roman" w:cs="Times New Roman"/>
          <w:lang w:eastAsia="zh-CN"/>
        </w:rPr>
      </w:pPr>
      <w:bookmarkStart w:id="12" w:name="_bookmark5"/>
      <w:bookmarkEnd w:id="12"/>
      <w:r>
        <w:rPr>
          <w:rFonts w:hint="eastAsia" w:ascii="Times New Roman" w:hAnsi="Times New Roman" w:cs="Times New Roman"/>
          <w:lang w:eastAsia="zh-CN"/>
        </w:rPr>
        <w:t>GB/T 8487 界定的相关术语适用于本文件；GB 16297规定了干散货</w:t>
      </w:r>
      <w:r>
        <w:rPr>
          <w:rFonts w:hint="eastAsia" w:ascii="Times New Roman" w:hAnsi="Times New Roman" w:cs="Times New Roman"/>
          <w:lang w:val="en-US" w:eastAsia="zh-CN"/>
        </w:rPr>
        <w:t>港口</w:t>
      </w:r>
      <w:r>
        <w:rPr>
          <w:rFonts w:hint="eastAsia" w:ascii="Times New Roman" w:hAnsi="Times New Roman" w:cs="Times New Roman"/>
          <w:lang w:eastAsia="zh-CN"/>
        </w:rPr>
        <w:t>厂界及粉尘排放口的颗粒物排放限值；干散货</w:t>
      </w:r>
      <w:r>
        <w:rPr>
          <w:rFonts w:hint="eastAsia" w:ascii="Times New Roman" w:hAnsi="Times New Roman" w:cs="Times New Roman"/>
          <w:lang w:val="en-US" w:eastAsia="zh-CN"/>
        </w:rPr>
        <w:t>港口有组织</w:t>
      </w:r>
      <w:r>
        <w:rPr>
          <w:rFonts w:hint="eastAsia" w:ascii="Times New Roman" w:hAnsi="Times New Roman" w:cs="Times New Roman"/>
          <w:lang w:eastAsia="zh-CN"/>
        </w:rPr>
        <w:t>排放口及厂界颗粒物采样及监测方法参照GB/T 16157、HJ/T 55和HJ/T 397；本标准中关于颗粒物管控的相关细则条款参考HJ 1107、 JTS 149和 JTS 156中的相关细则要求。</w:t>
      </w:r>
    </w:p>
    <w:p w14:paraId="60F27707">
      <w:pPr>
        <w:pStyle w:val="2"/>
        <w:spacing w:before="240" w:afterLines="50"/>
        <w:ind w:left="607"/>
        <w:rPr>
          <w:rFonts w:ascii="Times New Roman" w:hAnsi="Times New Roman" w:eastAsia="黑体" w:cs="Times New Roman"/>
          <w:spacing w:val="-2"/>
          <w:sz w:val="28"/>
          <w:szCs w:val="28"/>
          <w:lang w:eastAsia="zh-CN"/>
        </w:rPr>
      </w:pPr>
      <w:bookmarkStart w:id="13" w:name="七、贯彻标准的要求和措施建议（包括组织措施、技术措施、过渡办法等内容）"/>
      <w:bookmarkEnd w:id="13"/>
      <w:bookmarkStart w:id="14" w:name="_Toc7482"/>
      <w:r>
        <w:rPr>
          <w:rFonts w:hint="eastAsia" w:ascii="Times New Roman" w:hAnsi="Times New Roman" w:eastAsia="黑体" w:cs="Times New Roman"/>
          <w:spacing w:val="-2"/>
          <w:sz w:val="28"/>
          <w:szCs w:val="28"/>
          <w:lang w:val="en-US" w:eastAsia="zh-CN"/>
        </w:rPr>
        <w:t>六</w:t>
      </w:r>
      <w:r>
        <w:rPr>
          <w:rFonts w:ascii="Times New Roman" w:hAnsi="Times New Roman" w:eastAsia="黑体" w:cs="Times New Roman"/>
          <w:spacing w:val="-2"/>
          <w:sz w:val="28"/>
          <w:szCs w:val="28"/>
          <w:lang w:eastAsia="zh-CN"/>
        </w:rPr>
        <w:t>、贯彻标准的要求和措施建议（包括组织措施、技术措施、过渡办法等内容）</w:t>
      </w:r>
      <w:bookmarkEnd w:id="14"/>
    </w:p>
    <w:p w14:paraId="026AD956">
      <w:pPr>
        <w:pStyle w:val="6"/>
        <w:spacing w:before="240" w:line="362" w:lineRule="auto"/>
        <w:ind w:left="609" w:right="632" w:firstLine="480"/>
        <w:jc w:val="both"/>
        <w:rPr>
          <w:rFonts w:ascii="Times New Roman" w:hAnsi="Times New Roman" w:cs="Times New Roman"/>
          <w:lang w:eastAsia="zh-CN"/>
        </w:rPr>
      </w:pPr>
      <w:r>
        <w:rPr>
          <w:rFonts w:ascii="Times New Roman" w:hAnsi="Times New Roman" w:cs="Times New Roman"/>
          <w:lang w:eastAsia="zh-CN"/>
        </w:rPr>
        <w:t>在本文件发布后，</w:t>
      </w:r>
      <w:r>
        <w:rPr>
          <w:rFonts w:hint="eastAsia" w:ascii="Times New Roman" w:hAnsi="Times New Roman" w:cs="Times New Roman"/>
          <w:lang w:eastAsia="zh-CN"/>
        </w:rPr>
        <w:t>建议</w:t>
      </w:r>
      <w:r>
        <w:rPr>
          <w:rFonts w:ascii="Times New Roman" w:hAnsi="Times New Roman" w:cs="Times New Roman"/>
          <w:lang w:eastAsia="zh-CN"/>
        </w:rPr>
        <w:t>开展对本文件的宣传和贯彻的培训，规范</w:t>
      </w:r>
      <w:r>
        <w:rPr>
          <w:rFonts w:hint="eastAsia" w:ascii="Times New Roman" w:hAnsi="Times New Roman" w:cs="Times New Roman"/>
          <w:lang w:eastAsia="zh-CN"/>
        </w:rPr>
        <w:t>干散货装卸、输运、</w:t>
      </w:r>
      <w:r>
        <w:rPr>
          <w:rFonts w:hint="eastAsia" w:ascii="Times New Roman" w:hAnsi="Times New Roman" w:cs="Times New Roman"/>
          <w:lang w:val="en-US" w:eastAsia="zh-CN"/>
        </w:rPr>
        <w:t>堆取料、</w:t>
      </w:r>
      <w:r>
        <w:rPr>
          <w:rFonts w:hint="eastAsia" w:ascii="Times New Roman" w:hAnsi="Times New Roman" w:cs="Times New Roman"/>
          <w:lang w:eastAsia="zh-CN"/>
        </w:rPr>
        <w:t>堆存及相关配套设施的</w:t>
      </w:r>
      <w:r>
        <w:rPr>
          <w:rFonts w:hint="eastAsia" w:ascii="Times New Roman" w:hAnsi="Times New Roman" w:cs="Times New Roman"/>
          <w:lang w:val="en-US" w:eastAsia="zh-CN"/>
        </w:rPr>
        <w:t>颗粒物</w:t>
      </w:r>
      <w:r>
        <w:rPr>
          <w:rFonts w:hint="eastAsia" w:ascii="Times New Roman" w:hAnsi="Times New Roman" w:cs="Times New Roman"/>
          <w:lang w:eastAsia="zh-CN"/>
        </w:rPr>
        <w:t>管理</w:t>
      </w:r>
      <w:r>
        <w:rPr>
          <w:rFonts w:ascii="Times New Roman" w:hAnsi="Times New Roman" w:cs="Times New Roman"/>
          <w:lang w:eastAsia="zh-CN"/>
        </w:rPr>
        <w:t>，</w:t>
      </w:r>
      <w:r>
        <w:rPr>
          <w:rFonts w:hint="eastAsia" w:ascii="Times New Roman" w:hAnsi="Times New Roman" w:cs="Times New Roman"/>
          <w:lang w:val="en-US" w:eastAsia="zh-CN"/>
        </w:rPr>
        <w:t>全面系统梳理干散货港口全流程颗粒物污染治理要求，</w:t>
      </w:r>
      <w:r>
        <w:rPr>
          <w:rFonts w:ascii="Times New Roman" w:hAnsi="Times New Roman" w:cs="Times New Roman"/>
          <w:lang w:eastAsia="zh-CN"/>
        </w:rPr>
        <w:t>为煤炭、矿石等干散货</w:t>
      </w:r>
      <w:r>
        <w:rPr>
          <w:rFonts w:hint="eastAsia" w:ascii="Times New Roman" w:hAnsi="Times New Roman" w:cs="Times New Roman"/>
          <w:lang w:val="en-US" w:eastAsia="zh-CN"/>
        </w:rPr>
        <w:t>港口</w:t>
      </w:r>
      <w:r>
        <w:rPr>
          <w:rFonts w:ascii="Times New Roman" w:hAnsi="Times New Roman" w:cs="Times New Roman"/>
          <w:lang w:eastAsia="zh-CN"/>
        </w:rPr>
        <w:t>企业实施</w:t>
      </w:r>
      <w:r>
        <w:rPr>
          <w:rFonts w:hint="eastAsia" w:ascii="Times New Roman" w:hAnsi="Times New Roman" w:cs="Times New Roman"/>
          <w:lang w:val="en-US" w:eastAsia="zh-CN"/>
        </w:rPr>
        <w:t>运营期的颗粒物管控</w:t>
      </w:r>
      <w:r>
        <w:rPr>
          <w:rFonts w:ascii="Times New Roman" w:hAnsi="Times New Roman" w:cs="Times New Roman"/>
          <w:lang w:eastAsia="zh-CN"/>
        </w:rPr>
        <w:t>提供规范指导</w:t>
      </w:r>
      <w:r>
        <w:rPr>
          <w:rFonts w:hint="eastAsia" w:ascii="Times New Roman" w:hAnsi="Times New Roman" w:cs="Times New Roman"/>
          <w:lang w:eastAsia="zh-CN"/>
        </w:rPr>
        <w:t>，助力行业绿色低碳转型与可持续发展。</w:t>
      </w:r>
    </w:p>
    <w:p w14:paraId="2E8BCEED">
      <w:pPr>
        <w:pStyle w:val="6"/>
        <w:spacing w:line="362" w:lineRule="auto"/>
        <w:ind w:left="609" w:right="632" w:firstLine="480"/>
        <w:jc w:val="both"/>
        <w:rPr>
          <w:rFonts w:ascii="Times New Roman" w:hAnsi="Times New Roman" w:cs="Times New Roman"/>
          <w:lang w:eastAsia="zh-CN"/>
        </w:rPr>
      </w:pPr>
      <w:r>
        <w:rPr>
          <w:rFonts w:hint="eastAsia" w:ascii="Times New Roman" w:hAnsi="Times New Roman" w:cs="Times New Roman"/>
          <w:lang w:val="en-US" w:eastAsia="zh-CN"/>
        </w:rPr>
        <w:t>已建干散货港口企业</w:t>
      </w:r>
      <w:r>
        <w:rPr>
          <w:rFonts w:ascii="Times New Roman" w:hAnsi="Times New Roman" w:cs="Times New Roman"/>
          <w:lang w:eastAsia="zh-CN"/>
        </w:rPr>
        <w:t>，应严格依照本文件的相关规定，</w:t>
      </w:r>
      <w:r>
        <w:rPr>
          <w:rFonts w:hint="eastAsia" w:ascii="Times New Roman" w:hAnsi="Times New Roman" w:cs="Times New Roman"/>
          <w:lang w:val="en-US" w:eastAsia="zh-CN"/>
        </w:rPr>
        <w:t>规范开展运营期的颗粒物污染防治</w:t>
      </w:r>
      <w:r>
        <w:rPr>
          <w:rFonts w:ascii="Times New Roman" w:hAnsi="Times New Roman" w:cs="Times New Roman"/>
          <w:lang w:eastAsia="zh-CN"/>
        </w:rPr>
        <w:t>，确保更好的抑尘效果；本文件发布后</w:t>
      </w:r>
      <w:r>
        <w:rPr>
          <w:rFonts w:hint="eastAsia" w:ascii="Times New Roman" w:hAnsi="Times New Roman" w:cs="Times New Roman"/>
          <w:lang w:val="en-US" w:eastAsia="zh-CN"/>
        </w:rPr>
        <w:t>新建干散货港口，</w:t>
      </w:r>
      <w:r>
        <w:rPr>
          <w:rFonts w:ascii="Times New Roman" w:hAnsi="Times New Roman" w:cs="Times New Roman"/>
          <w:lang w:eastAsia="zh-CN"/>
        </w:rPr>
        <w:t>可依照本文件的相关规定进行</w:t>
      </w:r>
      <w:r>
        <w:rPr>
          <w:rFonts w:hint="eastAsia" w:ascii="Times New Roman" w:hAnsi="Times New Roman" w:cs="Times New Roman"/>
          <w:lang w:val="en-US" w:eastAsia="zh-CN"/>
        </w:rPr>
        <w:t>装卸设备、除尘抑尘设备的配套</w:t>
      </w:r>
      <w:r>
        <w:rPr>
          <w:rFonts w:ascii="Times New Roman" w:hAnsi="Times New Roman" w:cs="Times New Roman"/>
          <w:lang w:eastAsia="zh-CN"/>
        </w:rPr>
        <w:t>，</w:t>
      </w:r>
      <w:r>
        <w:rPr>
          <w:rFonts w:hint="eastAsia" w:ascii="Times New Roman" w:hAnsi="Times New Roman" w:cs="Times New Roman"/>
          <w:lang w:val="en-US" w:eastAsia="zh-CN"/>
        </w:rPr>
        <w:t>确保</w:t>
      </w:r>
      <w:r>
        <w:rPr>
          <w:rFonts w:ascii="Times New Roman" w:hAnsi="Times New Roman" w:cs="Times New Roman"/>
          <w:lang w:eastAsia="zh-CN"/>
        </w:rPr>
        <w:t>干散货</w:t>
      </w:r>
      <w:r>
        <w:rPr>
          <w:rFonts w:hint="eastAsia" w:ascii="Times New Roman" w:hAnsi="Times New Roman" w:cs="Times New Roman"/>
          <w:lang w:val="en-US" w:eastAsia="zh-CN"/>
        </w:rPr>
        <w:t>港口</w:t>
      </w:r>
      <w:r>
        <w:rPr>
          <w:rFonts w:ascii="Times New Roman" w:hAnsi="Times New Roman" w:cs="Times New Roman"/>
          <w:lang w:eastAsia="zh-CN"/>
        </w:rPr>
        <w:t>企业</w:t>
      </w:r>
      <w:r>
        <w:rPr>
          <w:rFonts w:hint="eastAsia" w:ascii="Times New Roman" w:hAnsi="Times New Roman" w:cs="Times New Roman"/>
          <w:lang w:val="en-US" w:eastAsia="zh-CN"/>
        </w:rPr>
        <w:t>动态作业节点和静态堆存环节的颗粒物防控效能</w:t>
      </w:r>
      <w:r>
        <w:rPr>
          <w:rFonts w:ascii="Times New Roman" w:hAnsi="Times New Roman" w:cs="Times New Roman"/>
          <w:lang w:eastAsia="zh-CN"/>
        </w:rPr>
        <w:t>。</w:t>
      </w:r>
    </w:p>
    <w:p w14:paraId="6EA27279">
      <w:pPr>
        <w:rPr>
          <w:rFonts w:ascii="Times New Roman" w:hAnsi="Times New Roman" w:cs="Times New Roman"/>
          <w:sz w:val="35"/>
          <w:szCs w:val="24"/>
          <w:lang w:eastAsia="zh-CN"/>
        </w:rPr>
      </w:pPr>
      <w:bookmarkStart w:id="15" w:name="_bookmark7"/>
      <w:bookmarkEnd w:id="15"/>
      <w:bookmarkStart w:id="16" w:name="八、废止现行有关标准的建议"/>
      <w:bookmarkEnd w:id="16"/>
    </w:p>
    <w:p w14:paraId="3AB6DD49">
      <w:pPr>
        <w:pStyle w:val="6"/>
        <w:spacing w:line="360" w:lineRule="exact"/>
        <w:ind w:right="567"/>
        <w:rPr>
          <w:rFonts w:ascii="Times New Roman" w:hAnsi="Times New Roman" w:cs="Times New Roman"/>
          <w:sz w:val="35"/>
          <w:lang w:eastAsia="zh-CN"/>
        </w:rPr>
      </w:pPr>
    </w:p>
    <w:sectPr>
      <w:footerReference r:id="rId7" w:type="default"/>
      <w:pgSz w:w="11906" w:h="16838"/>
      <w:pgMar w:top="1440" w:right="1134" w:bottom="1440" w:left="1418" w:header="0" w:footer="924" w:gutter="0"/>
      <w:pgBorders>
        <w:top w:val="none" w:sz="0" w:space="0"/>
        <w:left w:val="none" w:sz="0" w:space="0"/>
        <w:bottom w:val="none" w:sz="0" w:space="0"/>
        <w:right w:val="none" w:sz="0" w:space="0"/>
      </w:pgBorders>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 w:name="瀹嬩綋">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870925">
    <w:pPr>
      <w:pStyle w:val="8"/>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3BF4E4">
    <w:pPr>
      <w:pStyle w:val="8"/>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EB3486">
    <w:pPr>
      <w:pStyle w:val="8"/>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BCE216">
    <w:pPr>
      <w:pStyle w:val="6"/>
      <w:spacing w:line="14" w:lineRule="auto"/>
      <w:rPr>
        <w:sz w:val="20"/>
      </w:rPr>
    </w:pPr>
    <w:r>
      <w:rPr>
        <w:lang w:eastAsia="zh-CN"/>
      </w:rPr>
      <w:pict>
        <v:shape id="Text Box 2" o:spid="_x0000_s4098" o:spt="202" type="#_x0000_t202" style="position:absolute;left:0pt;margin-left:295.9pt;margin-top:780.65pt;height:13.15pt;width:4.3pt;mso-position-horizontal-relative:page;mso-position-vertical-relative:page;z-index:-251657216;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">
          <v:path/>
          <v:fill on="f" focussize="0,0"/>
          <v:stroke on="f" joinstyle="miter"/>
          <v:imagedata o:title=""/>
          <o:lock v:ext="edit"/>
          <v:textbox inset="0mm,0mm,0mm,0mm">
            <w:txbxContent>
              <w:p w14:paraId="5E3A641A">
                <w:pPr>
                  <w:spacing w:before="22"/>
                  <w:ind w:left="20"/>
                  <w:rPr>
                    <w:rFonts w:ascii="Calibri"/>
                    <w:sz w:val="18"/>
                  </w:rPr>
                </w:pPr>
                <w:r>
                  <w:rPr>
                    <w:rFonts w:ascii="Calibri"/>
                    <w:w w:val="101"/>
                    <w:sz w:val="18"/>
                  </w:rPr>
                  <w:t>I</w:t>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38518735"/>
      <w:docPartObj>
        <w:docPartGallery w:val="autotext"/>
      </w:docPartObj>
    </w:sdtPr>
    <w:sdtContent>
      <w:p w14:paraId="3F67C932">
        <w:pPr>
          <w:pStyle w:val="8"/>
          <w:ind w:firstLine="360"/>
          <w:jc w:val="center"/>
        </w:pPr>
        <w:r>
          <w:fldChar w:fldCharType="begin"/>
        </w:r>
        <w:r>
          <w:instrText xml:space="preserve">PAGE   \* MERGEFORMAT</w:instrText>
        </w:r>
        <w:r>
          <w:fldChar w:fldCharType="separate"/>
        </w:r>
        <w:r>
          <w:rPr>
            <w:lang w:val="zh-CN"/>
          </w:rPr>
          <w:t>82</w:t>
        </w:r>
        <w:r>
          <w:rPr>
            <w:lang w:val="zh-CN"/>
          </w:rPr>
          <w:fldChar w:fldCharType="end"/>
        </w:r>
      </w:p>
    </w:sdtContent>
  </w:sdt>
  <w:p w14:paraId="7FF7C3E1">
    <w:pPr>
      <w:pStyle w:val="6"/>
      <w:spacing w:line="14" w:lineRule="auto"/>
      <w:rPr>
        <w:sz w:val="14"/>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F1B3F63"/>
    <w:multiLevelType w:val="singleLevel"/>
    <w:tmpl w:val="AF1B3F63"/>
    <w:lvl w:ilvl="0" w:tentative="0">
      <w:start w:val="4"/>
      <w:numFmt w:val="chineseCounting"/>
      <w:suff w:val="nothing"/>
      <w:lvlText w:val="（%1）"/>
      <w:lvlJc w:val="left"/>
      <w:rPr>
        <w:rFonts w:hint="eastAsia"/>
      </w:rPr>
    </w:lvl>
  </w:abstractNum>
  <w:abstractNum w:abstractNumId="1">
    <w:nsid w:val="BB807241"/>
    <w:multiLevelType w:val="singleLevel"/>
    <w:tmpl w:val="BB807241"/>
    <w:lvl w:ilvl="0" w:tentative="0">
      <w:start w:val="3"/>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9"/>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hdrShapeDefaults>
    <o:shapelayout v:ext="edit">
      <o:idmap v:ext="edit" data="4"/>
    </o:shapelayout>
  </w:hdrShapeDefaults>
  <w:compat>
    <w:ulTrailSpace/>
    <w:doNotExpandShiftReturn/>
    <w:doNotWrapTextWithPunct/>
    <w:doNotUseEastAsianBreakRules/>
    <w:useFELayout/>
    <w:doNotUseIndentAsNumberingTabStop/>
    <w:compatSetting w:name="compatibilityMode" w:uri="http://schemas.microsoft.com/office/word" w:val="12"/>
  </w:compat>
  <w:docVars>
    <w:docVar w:name="commondata" w:val="eyJoZGlkIjoiMDZmMWQyYTUxMGFiOTM2MGRkZTc3NTg1ODU3NjZkMDkifQ=="/>
  </w:docVars>
  <w:rsids>
    <w:rsidRoot w:val="008A3187"/>
    <w:rsid w:val="00000AE3"/>
    <w:rsid w:val="00004378"/>
    <w:rsid w:val="00004E73"/>
    <w:rsid w:val="00005E90"/>
    <w:rsid w:val="0001157A"/>
    <w:rsid w:val="00014E77"/>
    <w:rsid w:val="00014EA8"/>
    <w:rsid w:val="00016F27"/>
    <w:rsid w:val="000176BD"/>
    <w:rsid w:val="00026001"/>
    <w:rsid w:val="0002651E"/>
    <w:rsid w:val="00026EB4"/>
    <w:rsid w:val="000312BD"/>
    <w:rsid w:val="0003190F"/>
    <w:rsid w:val="00031F04"/>
    <w:rsid w:val="00032687"/>
    <w:rsid w:val="00034058"/>
    <w:rsid w:val="00034168"/>
    <w:rsid w:val="00036401"/>
    <w:rsid w:val="000367D1"/>
    <w:rsid w:val="00036871"/>
    <w:rsid w:val="00044A12"/>
    <w:rsid w:val="000463EF"/>
    <w:rsid w:val="0004742F"/>
    <w:rsid w:val="00047F9D"/>
    <w:rsid w:val="00053381"/>
    <w:rsid w:val="00053635"/>
    <w:rsid w:val="000562BD"/>
    <w:rsid w:val="00056FCB"/>
    <w:rsid w:val="00057E84"/>
    <w:rsid w:val="00060750"/>
    <w:rsid w:val="00060BAF"/>
    <w:rsid w:val="00064D0D"/>
    <w:rsid w:val="00065480"/>
    <w:rsid w:val="000655F1"/>
    <w:rsid w:val="00065F2C"/>
    <w:rsid w:val="0006605F"/>
    <w:rsid w:val="000664EA"/>
    <w:rsid w:val="00067879"/>
    <w:rsid w:val="00070ADF"/>
    <w:rsid w:val="00070CB5"/>
    <w:rsid w:val="0007262C"/>
    <w:rsid w:val="00073219"/>
    <w:rsid w:val="00077C41"/>
    <w:rsid w:val="00081BD0"/>
    <w:rsid w:val="00084E61"/>
    <w:rsid w:val="00090843"/>
    <w:rsid w:val="00091B3B"/>
    <w:rsid w:val="000933A4"/>
    <w:rsid w:val="00094044"/>
    <w:rsid w:val="000950B1"/>
    <w:rsid w:val="000A021A"/>
    <w:rsid w:val="000A1F79"/>
    <w:rsid w:val="000A2776"/>
    <w:rsid w:val="000A4786"/>
    <w:rsid w:val="000A68E8"/>
    <w:rsid w:val="000A7DE8"/>
    <w:rsid w:val="000B1693"/>
    <w:rsid w:val="000B18A5"/>
    <w:rsid w:val="000B25F3"/>
    <w:rsid w:val="000B4E0E"/>
    <w:rsid w:val="000B63A7"/>
    <w:rsid w:val="000B7DCB"/>
    <w:rsid w:val="000C1494"/>
    <w:rsid w:val="000C1533"/>
    <w:rsid w:val="000C5B19"/>
    <w:rsid w:val="000C5E12"/>
    <w:rsid w:val="000C5F0D"/>
    <w:rsid w:val="000C738E"/>
    <w:rsid w:val="000C7CA9"/>
    <w:rsid w:val="000D0D5B"/>
    <w:rsid w:val="000D217C"/>
    <w:rsid w:val="000D55C1"/>
    <w:rsid w:val="000D7037"/>
    <w:rsid w:val="000E2D87"/>
    <w:rsid w:val="000E2E03"/>
    <w:rsid w:val="000E5DFF"/>
    <w:rsid w:val="000E6D4C"/>
    <w:rsid w:val="000E7BEB"/>
    <w:rsid w:val="000E7D8A"/>
    <w:rsid w:val="000E7EB4"/>
    <w:rsid w:val="000F2EDD"/>
    <w:rsid w:val="000F2F75"/>
    <w:rsid w:val="000F58F8"/>
    <w:rsid w:val="000F5985"/>
    <w:rsid w:val="00100855"/>
    <w:rsid w:val="00103EBB"/>
    <w:rsid w:val="00104E20"/>
    <w:rsid w:val="001075F0"/>
    <w:rsid w:val="0011397A"/>
    <w:rsid w:val="00115C2B"/>
    <w:rsid w:val="00115C4B"/>
    <w:rsid w:val="0011781F"/>
    <w:rsid w:val="001238F4"/>
    <w:rsid w:val="00127350"/>
    <w:rsid w:val="00127557"/>
    <w:rsid w:val="00127EFD"/>
    <w:rsid w:val="001300F7"/>
    <w:rsid w:val="001310AF"/>
    <w:rsid w:val="00132649"/>
    <w:rsid w:val="00132A65"/>
    <w:rsid w:val="00132D8F"/>
    <w:rsid w:val="00133387"/>
    <w:rsid w:val="00133D0F"/>
    <w:rsid w:val="00134D7F"/>
    <w:rsid w:val="00135C94"/>
    <w:rsid w:val="00140D74"/>
    <w:rsid w:val="00141377"/>
    <w:rsid w:val="00142A78"/>
    <w:rsid w:val="00142CA9"/>
    <w:rsid w:val="00145397"/>
    <w:rsid w:val="00145F9D"/>
    <w:rsid w:val="0014645F"/>
    <w:rsid w:val="00147BB3"/>
    <w:rsid w:val="001544A1"/>
    <w:rsid w:val="00154863"/>
    <w:rsid w:val="00154EC5"/>
    <w:rsid w:val="0015589D"/>
    <w:rsid w:val="0015600F"/>
    <w:rsid w:val="00157343"/>
    <w:rsid w:val="00167527"/>
    <w:rsid w:val="001678ED"/>
    <w:rsid w:val="00167D36"/>
    <w:rsid w:val="00170141"/>
    <w:rsid w:val="0017138D"/>
    <w:rsid w:val="0017182E"/>
    <w:rsid w:val="00171CDA"/>
    <w:rsid w:val="00171E2F"/>
    <w:rsid w:val="00174636"/>
    <w:rsid w:val="001746D2"/>
    <w:rsid w:val="00182B52"/>
    <w:rsid w:val="001832F8"/>
    <w:rsid w:val="00183630"/>
    <w:rsid w:val="00190048"/>
    <w:rsid w:val="00195068"/>
    <w:rsid w:val="001A4C55"/>
    <w:rsid w:val="001A515F"/>
    <w:rsid w:val="001A6590"/>
    <w:rsid w:val="001B2D8E"/>
    <w:rsid w:val="001B3411"/>
    <w:rsid w:val="001B496A"/>
    <w:rsid w:val="001B71CC"/>
    <w:rsid w:val="001B7A2C"/>
    <w:rsid w:val="001C0B1E"/>
    <w:rsid w:val="001C2381"/>
    <w:rsid w:val="001D0225"/>
    <w:rsid w:val="001D082D"/>
    <w:rsid w:val="001D0D19"/>
    <w:rsid w:val="001D2314"/>
    <w:rsid w:val="001D2FDC"/>
    <w:rsid w:val="001E021F"/>
    <w:rsid w:val="001E0956"/>
    <w:rsid w:val="001E0F99"/>
    <w:rsid w:val="001E1588"/>
    <w:rsid w:val="001E1BF9"/>
    <w:rsid w:val="001E4C5A"/>
    <w:rsid w:val="001E673D"/>
    <w:rsid w:val="001F0ECD"/>
    <w:rsid w:val="001F10FC"/>
    <w:rsid w:val="001F5469"/>
    <w:rsid w:val="001F662C"/>
    <w:rsid w:val="001F7F38"/>
    <w:rsid w:val="00202E4E"/>
    <w:rsid w:val="002030CD"/>
    <w:rsid w:val="00203C3A"/>
    <w:rsid w:val="00205685"/>
    <w:rsid w:val="002111B1"/>
    <w:rsid w:val="00216580"/>
    <w:rsid w:val="00217DDD"/>
    <w:rsid w:val="0022152A"/>
    <w:rsid w:val="00222D5B"/>
    <w:rsid w:val="00224DD7"/>
    <w:rsid w:val="00226645"/>
    <w:rsid w:val="00232643"/>
    <w:rsid w:val="00234F88"/>
    <w:rsid w:val="00235386"/>
    <w:rsid w:val="002446EC"/>
    <w:rsid w:val="00245FB2"/>
    <w:rsid w:val="00246926"/>
    <w:rsid w:val="002469F7"/>
    <w:rsid w:val="00246F74"/>
    <w:rsid w:val="00250F9F"/>
    <w:rsid w:val="00252273"/>
    <w:rsid w:val="00253C7A"/>
    <w:rsid w:val="00254B69"/>
    <w:rsid w:val="00260183"/>
    <w:rsid w:val="00260AF8"/>
    <w:rsid w:val="002619FE"/>
    <w:rsid w:val="002621BD"/>
    <w:rsid w:val="00262889"/>
    <w:rsid w:val="00263D73"/>
    <w:rsid w:val="0026411A"/>
    <w:rsid w:val="00266B4A"/>
    <w:rsid w:val="00267269"/>
    <w:rsid w:val="00277841"/>
    <w:rsid w:val="0028130F"/>
    <w:rsid w:val="0028153F"/>
    <w:rsid w:val="00283752"/>
    <w:rsid w:val="0028409C"/>
    <w:rsid w:val="002853E9"/>
    <w:rsid w:val="00286723"/>
    <w:rsid w:val="002904C1"/>
    <w:rsid w:val="00293739"/>
    <w:rsid w:val="00294718"/>
    <w:rsid w:val="00294DD4"/>
    <w:rsid w:val="00295017"/>
    <w:rsid w:val="00295695"/>
    <w:rsid w:val="00297D00"/>
    <w:rsid w:val="002A2A9B"/>
    <w:rsid w:val="002A5517"/>
    <w:rsid w:val="002A5BCF"/>
    <w:rsid w:val="002B018C"/>
    <w:rsid w:val="002B1533"/>
    <w:rsid w:val="002B3FD9"/>
    <w:rsid w:val="002C0B0D"/>
    <w:rsid w:val="002C0FC7"/>
    <w:rsid w:val="002C1AB8"/>
    <w:rsid w:val="002C1D04"/>
    <w:rsid w:val="002C1E64"/>
    <w:rsid w:val="002C49D7"/>
    <w:rsid w:val="002C5D76"/>
    <w:rsid w:val="002D0412"/>
    <w:rsid w:val="002D1333"/>
    <w:rsid w:val="002D5676"/>
    <w:rsid w:val="002D67E0"/>
    <w:rsid w:val="002E14DD"/>
    <w:rsid w:val="002E3751"/>
    <w:rsid w:val="002E3EF0"/>
    <w:rsid w:val="002E651A"/>
    <w:rsid w:val="002F1558"/>
    <w:rsid w:val="002F2E32"/>
    <w:rsid w:val="002F35F3"/>
    <w:rsid w:val="002F4092"/>
    <w:rsid w:val="002F4140"/>
    <w:rsid w:val="002F4621"/>
    <w:rsid w:val="002F48D6"/>
    <w:rsid w:val="003010AC"/>
    <w:rsid w:val="00302122"/>
    <w:rsid w:val="00302755"/>
    <w:rsid w:val="00306D93"/>
    <w:rsid w:val="00306F4A"/>
    <w:rsid w:val="00310A0C"/>
    <w:rsid w:val="00310B9E"/>
    <w:rsid w:val="00311FDC"/>
    <w:rsid w:val="003140E2"/>
    <w:rsid w:val="00314C4F"/>
    <w:rsid w:val="0031531A"/>
    <w:rsid w:val="00315DE7"/>
    <w:rsid w:val="0031639C"/>
    <w:rsid w:val="003166C7"/>
    <w:rsid w:val="00322116"/>
    <w:rsid w:val="00325A6C"/>
    <w:rsid w:val="00325FF1"/>
    <w:rsid w:val="0033069F"/>
    <w:rsid w:val="00331887"/>
    <w:rsid w:val="00336111"/>
    <w:rsid w:val="00336A4B"/>
    <w:rsid w:val="003371D1"/>
    <w:rsid w:val="003411DE"/>
    <w:rsid w:val="0034441F"/>
    <w:rsid w:val="00344CF1"/>
    <w:rsid w:val="00344F54"/>
    <w:rsid w:val="0035104E"/>
    <w:rsid w:val="00353044"/>
    <w:rsid w:val="003544B4"/>
    <w:rsid w:val="003578EC"/>
    <w:rsid w:val="00361043"/>
    <w:rsid w:val="003653DC"/>
    <w:rsid w:val="00365BFE"/>
    <w:rsid w:val="00366D27"/>
    <w:rsid w:val="00370BDB"/>
    <w:rsid w:val="0037148A"/>
    <w:rsid w:val="00374035"/>
    <w:rsid w:val="00374AE4"/>
    <w:rsid w:val="00376089"/>
    <w:rsid w:val="00376994"/>
    <w:rsid w:val="003809D0"/>
    <w:rsid w:val="00383CFA"/>
    <w:rsid w:val="00383DBB"/>
    <w:rsid w:val="00383FEC"/>
    <w:rsid w:val="00387E5C"/>
    <w:rsid w:val="00391F9D"/>
    <w:rsid w:val="003A00DE"/>
    <w:rsid w:val="003A1127"/>
    <w:rsid w:val="003A2685"/>
    <w:rsid w:val="003A416A"/>
    <w:rsid w:val="003A4657"/>
    <w:rsid w:val="003A4B49"/>
    <w:rsid w:val="003B1134"/>
    <w:rsid w:val="003B1C21"/>
    <w:rsid w:val="003B3A9F"/>
    <w:rsid w:val="003B58D7"/>
    <w:rsid w:val="003B6932"/>
    <w:rsid w:val="003C4B1F"/>
    <w:rsid w:val="003C682D"/>
    <w:rsid w:val="003C74AB"/>
    <w:rsid w:val="003D2681"/>
    <w:rsid w:val="003D273A"/>
    <w:rsid w:val="003D3CD8"/>
    <w:rsid w:val="003D3FD2"/>
    <w:rsid w:val="003D3FD9"/>
    <w:rsid w:val="003D4B6A"/>
    <w:rsid w:val="003D4F8F"/>
    <w:rsid w:val="003D6685"/>
    <w:rsid w:val="003E169F"/>
    <w:rsid w:val="003E2225"/>
    <w:rsid w:val="003E4AED"/>
    <w:rsid w:val="003E506C"/>
    <w:rsid w:val="003E7EEB"/>
    <w:rsid w:val="003F0E53"/>
    <w:rsid w:val="003F1446"/>
    <w:rsid w:val="00400314"/>
    <w:rsid w:val="00401811"/>
    <w:rsid w:val="00403B70"/>
    <w:rsid w:val="0040404B"/>
    <w:rsid w:val="00406438"/>
    <w:rsid w:val="00406C58"/>
    <w:rsid w:val="00407AAF"/>
    <w:rsid w:val="00410329"/>
    <w:rsid w:val="0041541D"/>
    <w:rsid w:val="0041643B"/>
    <w:rsid w:val="00416BC7"/>
    <w:rsid w:val="00417C46"/>
    <w:rsid w:val="00417FE2"/>
    <w:rsid w:val="0042164E"/>
    <w:rsid w:val="00421ED0"/>
    <w:rsid w:val="00423337"/>
    <w:rsid w:val="004240C1"/>
    <w:rsid w:val="004268C5"/>
    <w:rsid w:val="00427176"/>
    <w:rsid w:val="004336E2"/>
    <w:rsid w:val="00433CC0"/>
    <w:rsid w:val="00433E30"/>
    <w:rsid w:val="00441793"/>
    <w:rsid w:val="00443509"/>
    <w:rsid w:val="00444710"/>
    <w:rsid w:val="004455AB"/>
    <w:rsid w:val="004502FF"/>
    <w:rsid w:val="00450F72"/>
    <w:rsid w:val="00453694"/>
    <w:rsid w:val="00455263"/>
    <w:rsid w:val="004558BE"/>
    <w:rsid w:val="00455D5A"/>
    <w:rsid w:val="004606C9"/>
    <w:rsid w:val="004608AB"/>
    <w:rsid w:val="00463FD8"/>
    <w:rsid w:val="004649C6"/>
    <w:rsid w:val="004718BF"/>
    <w:rsid w:val="0047392D"/>
    <w:rsid w:val="00481C3E"/>
    <w:rsid w:val="00482A9A"/>
    <w:rsid w:val="00483234"/>
    <w:rsid w:val="00483265"/>
    <w:rsid w:val="00483EA5"/>
    <w:rsid w:val="00485785"/>
    <w:rsid w:val="00497EF3"/>
    <w:rsid w:val="004A1859"/>
    <w:rsid w:val="004A19C2"/>
    <w:rsid w:val="004A3B0F"/>
    <w:rsid w:val="004A705B"/>
    <w:rsid w:val="004A7184"/>
    <w:rsid w:val="004B2355"/>
    <w:rsid w:val="004B31F3"/>
    <w:rsid w:val="004B4FF7"/>
    <w:rsid w:val="004C1BDC"/>
    <w:rsid w:val="004C5628"/>
    <w:rsid w:val="004C6B77"/>
    <w:rsid w:val="004C76B5"/>
    <w:rsid w:val="004D082C"/>
    <w:rsid w:val="004D0E6F"/>
    <w:rsid w:val="004D166C"/>
    <w:rsid w:val="004D35A8"/>
    <w:rsid w:val="004D5BB7"/>
    <w:rsid w:val="004D6887"/>
    <w:rsid w:val="004E0149"/>
    <w:rsid w:val="004E3FEF"/>
    <w:rsid w:val="004E509F"/>
    <w:rsid w:val="004E5653"/>
    <w:rsid w:val="004E57E0"/>
    <w:rsid w:val="004E6891"/>
    <w:rsid w:val="004F093E"/>
    <w:rsid w:val="004F2B22"/>
    <w:rsid w:val="005002C8"/>
    <w:rsid w:val="00500A5E"/>
    <w:rsid w:val="00501B73"/>
    <w:rsid w:val="0050257C"/>
    <w:rsid w:val="00505309"/>
    <w:rsid w:val="005061EA"/>
    <w:rsid w:val="005123B0"/>
    <w:rsid w:val="00515C54"/>
    <w:rsid w:val="00515E10"/>
    <w:rsid w:val="0052045C"/>
    <w:rsid w:val="005257FA"/>
    <w:rsid w:val="005273FC"/>
    <w:rsid w:val="005304E0"/>
    <w:rsid w:val="00530A76"/>
    <w:rsid w:val="005327F3"/>
    <w:rsid w:val="0053509A"/>
    <w:rsid w:val="00535658"/>
    <w:rsid w:val="005356A4"/>
    <w:rsid w:val="00535BF9"/>
    <w:rsid w:val="0053622D"/>
    <w:rsid w:val="00540AAE"/>
    <w:rsid w:val="00542EFD"/>
    <w:rsid w:val="00543600"/>
    <w:rsid w:val="00543BD6"/>
    <w:rsid w:val="00551270"/>
    <w:rsid w:val="005515EB"/>
    <w:rsid w:val="00555D6A"/>
    <w:rsid w:val="00564925"/>
    <w:rsid w:val="00565302"/>
    <w:rsid w:val="00565644"/>
    <w:rsid w:val="00566C43"/>
    <w:rsid w:val="00571CAB"/>
    <w:rsid w:val="005761F8"/>
    <w:rsid w:val="005768C7"/>
    <w:rsid w:val="00577650"/>
    <w:rsid w:val="005847F1"/>
    <w:rsid w:val="00591020"/>
    <w:rsid w:val="00591172"/>
    <w:rsid w:val="00594816"/>
    <w:rsid w:val="005972ED"/>
    <w:rsid w:val="005A03CE"/>
    <w:rsid w:val="005A191B"/>
    <w:rsid w:val="005A1A0F"/>
    <w:rsid w:val="005A222F"/>
    <w:rsid w:val="005A2774"/>
    <w:rsid w:val="005A57F5"/>
    <w:rsid w:val="005A7CFA"/>
    <w:rsid w:val="005B3FF3"/>
    <w:rsid w:val="005B477C"/>
    <w:rsid w:val="005B65C2"/>
    <w:rsid w:val="005B6AD8"/>
    <w:rsid w:val="005B6E4B"/>
    <w:rsid w:val="005B7A72"/>
    <w:rsid w:val="005B7F56"/>
    <w:rsid w:val="005C47CF"/>
    <w:rsid w:val="005D1489"/>
    <w:rsid w:val="005D4C89"/>
    <w:rsid w:val="005D536C"/>
    <w:rsid w:val="005D69EF"/>
    <w:rsid w:val="005E269D"/>
    <w:rsid w:val="005E6F9A"/>
    <w:rsid w:val="005E7199"/>
    <w:rsid w:val="005F0E8F"/>
    <w:rsid w:val="005F2FC8"/>
    <w:rsid w:val="005F3C29"/>
    <w:rsid w:val="005F3CEC"/>
    <w:rsid w:val="005F720D"/>
    <w:rsid w:val="00602678"/>
    <w:rsid w:val="00605011"/>
    <w:rsid w:val="00606D9B"/>
    <w:rsid w:val="00607125"/>
    <w:rsid w:val="00607479"/>
    <w:rsid w:val="00610898"/>
    <w:rsid w:val="00612B6A"/>
    <w:rsid w:val="00612B85"/>
    <w:rsid w:val="006159F8"/>
    <w:rsid w:val="006163CC"/>
    <w:rsid w:val="00616FA7"/>
    <w:rsid w:val="006260C3"/>
    <w:rsid w:val="006309E9"/>
    <w:rsid w:val="00630A23"/>
    <w:rsid w:val="006323F3"/>
    <w:rsid w:val="00634B86"/>
    <w:rsid w:val="00635673"/>
    <w:rsid w:val="00642C43"/>
    <w:rsid w:val="00646F92"/>
    <w:rsid w:val="00647C41"/>
    <w:rsid w:val="006526D9"/>
    <w:rsid w:val="00652D66"/>
    <w:rsid w:val="00653DBC"/>
    <w:rsid w:val="00653F55"/>
    <w:rsid w:val="006551F8"/>
    <w:rsid w:val="00656C24"/>
    <w:rsid w:val="00660803"/>
    <w:rsid w:val="00660A01"/>
    <w:rsid w:val="0066389A"/>
    <w:rsid w:val="0066444B"/>
    <w:rsid w:val="006661CB"/>
    <w:rsid w:val="00666D0D"/>
    <w:rsid w:val="00667103"/>
    <w:rsid w:val="00671689"/>
    <w:rsid w:val="00674E59"/>
    <w:rsid w:val="006758B7"/>
    <w:rsid w:val="0068099D"/>
    <w:rsid w:val="00680A4B"/>
    <w:rsid w:val="00681989"/>
    <w:rsid w:val="0068234C"/>
    <w:rsid w:val="006857F1"/>
    <w:rsid w:val="00693A7E"/>
    <w:rsid w:val="00694376"/>
    <w:rsid w:val="006949BE"/>
    <w:rsid w:val="00697539"/>
    <w:rsid w:val="006979FF"/>
    <w:rsid w:val="006A00E1"/>
    <w:rsid w:val="006A02D8"/>
    <w:rsid w:val="006A14E1"/>
    <w:rsid w:val="006A209D"/>
    <w:rsid w:val="006A5C3C"/>
    <w:rsid w:val="006A6E0C"/>
    <w:rsid w:val="006A75FF"/>
    <w:rsid w:val="006B044B"/>
    <w:rsid w:val="006B41EC"/>
    <w:rsid w:val="006B5106"/>
    <w:rsid w:val="006B521E"/>
    <w:rsid w:val="006B6C09"/>
    <w:rsid w:val="006B7410"/>
    <w:rsid w:val="006C4D59"/>
    <w:rsid w:val="006D124E"/>
    <w:rsid w:val="006D1C46"/>
    <w:rsid w:val="006D41B7"/>
    <w:rsid w:val="006D621C"/>
    <w:rsid w:val="006D6E74"/>
    <w:rsid w:val="006D75BC"/>
    <w:rsid w:val="006E233A"/>
    <w:rsid w:val="006E2BBF"/>
    <w:rsid w:val="006E5DB0"/>
    <w:rsid w:val="006E60E3"/>
    <w:rsid w:val="006E611F"/>
    <w:rsid w:val="006F4876"/>
    <w:rsid w:val="006F4CE1"/>
    <w:rsid w:val="006F6735"/>
    <w:rsid w:val="006F6BA0"/>
    <w:rsid w:val="007011B7"/>
    <w:rsid w:val="00701C0B"/>
    <w:rsid w:val="00702402"/>
    <w:rsid w:val="00702F6F"/>
    <w:rsid w:val="0070616F"/>
    <w:rsid w:val="0070696F"/>
    <w:rsid w:val="007104FE"/>
    <w:rsid w:val="0071142D"/>
    <w:rsid w:val="0071325B"/>
    <w:rsid w:val="00713FC9"/>
    <w:rsid w:val="007157EF"/>
    <w:rsid w:val="00717151"/>
    <w:rsid w:val="007172B2"/>
    <w:rsid w:val="00717A99"/>
    <w:rsid w:val="00720603"/>
    <w:rsid w:val="00720ABA"/>
    <w:rsid w:val="00724B1E"/>
    <w:rsid w:val="00725A89"/>
    <w:rsid w:val="00726447"/>
    <w:rsid w:val="007278E5"/>
    <w:rsid w:val="00733D39"/>
    <w:rsid w:val="00735258"/>
    <w:rsid w:val="0073634E"/>
    <w:rsid w:val="00737A00"/>
    <w:rsid w:val="00737CBD"/>
    <w:rsid w:val="00740273"/>
    <w:rsid w:val="007412B8"/>
    <w:rsid w:val="007427E0"/>
    <w:rsid w:val="00742ACF"/>
    <w:rsid w:val="0074578C"/>
    <w:rsid w:val="007467D0"/>
    <w:rsid w:val="00750E47"/>
    <w:rsid w:val="00751FA9"/>
    <w:rsid w:val="00752689"/>
    <w:rsid w:val="00752774"/>
    <w:rsid w:val="0075466E"/>
    <w:rsid w:val="00756D7C"/>
    <w:rsid w:val="00757306"/>
    <w:rsid w:val="0076220A"/>
    <w:rsid w:val="007629C7"/>
    <w:rsid w:val="00765A8F"/>
    <w:rsid w:val="00771424"/>
    <w:rsid w:val="00772BEE"/>
    <w:rsid w:val="007730E7"/>
    <w:rsid w:val="00774361"/>
    <w:rsid w:val="0077491E"/>
    <w:rsid w:val="00776ED8"/>
    <w:rsid w:val="00782981"/>
    <w:rsid w:val="00785ABF"/>
    <w:rsid w:val="00786FD3"/>
    <w:rsid w:val="007905BE"/>
    <w:rsid w:val="007912BE"/>
    <w:rsid w:val="00791A4F"/>
    <w:rsid w:val="00792CF8"/>
    <w:rsid w:val="00792D93"/>
    <w:rsid w:val="00792F03"/>
    <w:rsid w:val="007976D8"/>
    <w:rsid w:val="007A7728"/>
    <w:rsid w:val="007B03F8"/>
    <w:rsid w:val="007B1FD8"/>
    <w:rsid w:val="007B3760"/>
    <w:rsid w:val="007B3B5B"/>
    <w:rsid w:val="007B6A82"/>
    <w:rsid w:val="007C118D"/>
    <w:rsid w:val="007C2239"/>
    <w:rsid w:val="007C3A26"/>
    <w:rsid w:val="007C3CDC"/>
    <w:rsid w:val="007C3E60"/>
    <w:rsid w:val="007C4C25"/>
    <w:rsid w:val="007C5D08"/>
    <w:rsid w:val="007C5ED1"/>
    <w:rsid w:val="007D08D7"/>
    <w:rsid w:val="007D11C5"/>
    <w:rsid w:val="007D4505"/>
    <w:rsid w:val="007D4C72"/>
    <w:rsid w:val="007D54A7"/>
    <w:rsid w:val="007D66E5"/>
    <w:rsid w:val="007D682D"/>
    <w:rsid w:val="007D7281"/>
    <w:rsid w:val="007D7CF1"/>
    <w:rsid w:val="007E03FA"/>
    <w:rsid w:val="007E177A"/>
    <w:rsid w:val="007E4112"/>
    <w:rsid w:val="007E4E55"/>
    <w:rsid w:val="007E4E8E"/>
    <w:rsid w:val="007F0954"/>
    <w:rsid w:val="007F2D56"/>
    <w:rsid w:val="007F33ED"/>
    <w:rsid w:val="007F43D5"/>
    <w:rsid w:val="007F4B9B"/>
    <w:rsid w:val="007F51B8"/>
    <w:rsid w:val="007F554B"/>
    <w:rsid w:val="007F6C6F"/>
    <w:rsid w:val="007F78DC"/>
    <w:rsid w:val="008027C6"/>
    <w:rsid w:val="00802940"/>
    <w:rsid w:val="00803821"/>
    <w:rsid w:val="00803C2B"/>
    <w:rsid w:val="0081180C"/>
    <w:rsid w:val="00812AA2"/>
    <w:rsid w:val="00815B57"/>
    <w:rsid w:val="00815D46"/>
    <w:rsid w:val="0081655D"/>
    <w:rsid w:val="008206FD"/>
    <w:rsid w:val="00821553"/>
    <w:rsid w:val="008221ED"/>
    <w:rsid w:val="00823BE7"/>
    <w:rsid w:val="00823EAC"/>
    <w:rsid w:val="00826084"/>
    <w:rsid w:val="00826D6A"/>
    <w:rsid w:val="00827242"/>
    <w:rsid w:val="00830716"/>
    <w:rsid w:val="00830CCA"/>
    <w:rsid w:val="00831CCF"/>
    <w:rsid w:val="00832AD7"/>
    <w:rsid w:val="00833326"/>
    <w:rsid w:val="00833D3B"/>
    <w:rsid w:val="008346D0"/>
    <w:rsid w:val="008349F3"/>
    <w:rsid w:val="0083704F"/>
    <w:rsid w:val="0084113B"/>
    <w:rsid w:val="0084463B"/>
    <w:rsid w:val="008512F8"/>
    <w:rsid w:val="00853376"/>
    <w:rsid w:val="00853A60"/>
    <w:rsid w:val="00853DE5"/>
    <w:rsid w:val="00853E7C"/>
    <w:rsid w:val="00860219"/>
    <w:rsid w:val="0086058A"/>
    <w:rsid w:val="00860D49"/>
    <w:rsid w:val="00861C56"/>
    <w:rsid w:val="00864DE8"/>
    <w:rsid w:val="00866718"/>
    <w:rsid w:val="00867147"/>
    <w:rsid w:val="00867AFE"/>
    <w:rsid w:val="00871574"/>
    <w:rsid w:val="0087234E"/>
    <w:rsid w:val="0087255F"/>
    <w:rsid w:val="00873DE4"/>
    <w:rsid w:val="00881847"/>
    <w:rsid w:val="00882269"/>
    <w:rsid w:val="00883C1D"/>
    <w:rsid w:val="00883D54"/>
    <w:rsid w:val="008846FC"/>
    <w:rsid w:val="00884FFD"/>
    <w:rsid w:val="0088502D"/>
    <w:rsid w:val="00886AEE"/>
    <w:rsid w:val="008911D8"/>
    <w:rsid w:val="00893749"/>
    <w:rsid w:val="00893C42"/>
    <w:rsid w:val="00894126"/>
    <w:rsid w:val="00895525"/>
    <w:rsid w:val="00897143"/>
    <w:rsid w:val="008A0152"/>
    <w:rsid w:val="008A173E"/>
    <w:rsid w:val="008A3187"/>
    <w:rsid w:val="008A5912"/>
    <w:rsid w:val="008A7864"/>
    <w:rsid w:val="008B0E11"/>
    <w:rsid w:val="008B11C1"/>
    <w:rsid w:val="008B323B"/>
    <w:rsid w:val="008B37FA"/>
    <w:rsid w:val="008B646D"/>
    <w:rsid w:val="008C01FD"/>
    <w:rsid w:val="008C228B"/>
    <w:rsid w:val="008C37D4"/>
    <w:rsid w:val="008C720E"/>
    <w:rsid w:val="008D0100"/>
    <w:rsid w:val="008D0641"/>
    <w:rsid w:val="008D0824"/>
    <w:rsid w:val="008D1021"/>
    <w:rsid w:val="008D1327"/>
    <w:rsid w:val="008D54FA"/>
    <w:rsid w:val="008D590E"/>
    <w:rsid w:val="008D6511"/>
    <w:rsid w:val="008D6DDE"/>
    <w:rsid w:val="008D7C8B"/>
    <w:rsid w:val="008E026F"/>
    <w:rsid w:val="008E4F16"/>
    <w:rsid w:val="008E6290"/>
    <w:rsid w:val="008F32BB"/>
    <w:rsid w:val="008F597A"/>
    <w:rsid w:val="008F5A55"/>
    <w:rsid w:val="00901A89"/>
    <w:rsid w:val="00904B3C"/>
    <w:rsid w:val="00905864"/>
    <w:rsid w:val="00913626"/>
    <w:rsid w:val="009144A4"/>
    <w:rsid w:val="00914F0E"/>
    <w:rsid w:val="00915A9C"/>
    <w:rsid w:val="0091643A"/>
    <w:rsid w:val="00917B72"/>
    <w:rsid w:val="009202AA"/>
    <w:rsid w:val="00920AF2"/>
    <w:rsid w:val="00921624"/>
    <w:rsid w:val="009228ED"/>
    <w:rsid w:val="0092563D"/>
    <w:rsid w:val="00927019"/>
    <w:rsid w:val="009316D3"/>
    <w:rsid w:val="00931C46"/>
    <w:rsid w:val="00931E57"/>
    <w:rsid w:val="009322E1"/>
    <w:rsid w:val="009324F1"/>
    <w:rsid w:val="00933132"/>
    <w:rsid w:val="009356E8"/>
    <w:rsid w:val="0093679B"/>
    <w:rsid w:val="009368B1"/>
    <w:rsid w:val="009370BA"/>
    <w:rsid w:val="00944B76"/>
    <w:rsid w:val="00950337"/>
    <w:rsid w:val="00950678"/>
    <w:rsid w:val="00953E3E"/>
    <w:rsid w:val="0095434F"/>
    <w:rsid w:val="0095517D"/>
    <w:rsid w:val="009553E9"/>
    <w:rsid w:val="009575D6"/>
    <w:rsid w:val="009611A1"/>
    <w:rsid w:val="00964A7F"/>
    <w:rsid w:val="00965C6B"/>
    <w:rsid w:val="009675D0"/>
    <w:rsid w:val="009727ED"/>
    <w:rsid w:val="009769BC"/>
    <w:rsid w:val="00980DFC"/>
    <w:rsid w:val="0098298B"/>
    <w:rsid w:val="00994D77"/>
    <w:rsid w:val="009962A0"/>
    <w:rsid w:val="00996913"/>
    <w:rsid w:val="009A19C1"/>
    <w:rsid w:val="009A1A72"/>
    <w:rsid w:val="009A6B3B"/>
    <w:rsid w:val="009B0DC9"/>
    <w:rsid w:val="009B146F"/>
    <w:rsid w:val="009B15AB"/>
    <w:rsid w:val="009B2F73"/>
    <w:rsid w:val="009B76D1"/>
    <w:rsid w:val="009B78A4"/>
    <w:rsid w:val="009C1DC9"/>
    <w:rsid w:val="009C2050"/>
    <w:rsid w:val="009C237D"/>
    <w:rsid w:val="009C27CF"/>
    <w:rsid w:val="009C41C0"/>
    <w:rsid w:val="009C493F"/>
    <w:rsid w:val="009C4D0A"/>
    <w:rsid w:val="009D0759"/>
    <w:rsid w:val="009D092E"/>
    <w:rsid w:val="009D109B"/>
    <w:rsid w:val="009D1144"/>
    <w:rsid w:val="009D257F"/>
    <w:rsid w:val="009D2B9B"/>
    <w:rsid w:val="009D4CC0"/>
    <w:rsid w:val="009E04CF"/>
    <w:rsid w:val="009E118E"/>
    <w:rsid w:val="009E190E"/>
    <w:rsid w:val="009E26AE"/>
    <w:rsid w:val="009E2BEA"/>
    <w:rsid w:val="009E2E67"/>
    <w:rsid w:val="009F2365"/>
    <w:rsid w:val="009F32FC"/>
    <w:rsid w:val="009F4D69"/>
    <w:rsid w:val="009F5033"/>
    <w:rsid w:val="009F5634"/>
    <w:rsid w:val="009F56B2"/>
    <w:rsid w:val="009F66C7"/>
    <w:rsid w:val="00A007BE"/>
    <w:rsid w:val="00A05A29"/>
    <w:rsid w:val="00A07899"/>
    <w:rsid w:val="00A1016B"/>
    <w:rsid w:val="00A14F9E"/>
    <w:rsid w:val="00A17CE8"/>
    <w:rsid w:val="00A20062"/>
    <w:rsid w:val="00A22F01"/>
    <w:rsid w:val="00A25090"/>
    <w:rsid w:val="00A25147"/>
    <w:rsid w:val="00A257AA"/>
    <w:rsid w:val="00A25BAF"/>
    <w:rsid w:val="00A25E26"/>
    <w:rsid w:val="00A32997"/>
    <w:rsid w:val="00A36CDA"/>
    <w:rsid w:val="00A375A8"/>
    <w:rsid w:val="00A37852"/>
    <w:rsid w:val="00A40435"/>
    <w:rsid w:val="00A413AB"/>
    <w:rsid w:val="00A425BC"/>
    <w:rsid w:val="00A42A87"/>
    <w:rsid w:val="00A44848"/>
    <w:rsid w:val="00A505F0"/>
    <w:rsid w:val="00A50D1A"/>
    <w:rsid w:val="00A53646"/>
    <w:rsid w:val="00A536CD"/>
    <w:rsid w:val="00A54E0E"/>
    <w:rsid w:val="00A5531A"/>
    <w:rsid w:val="00A56B4D"/>
    <w:rsid w:val="00A57AAD"/>
    <w:rsid w:val="00A61496"/>
    <w:rsid w:val="00A617A3"/>
    <w:rsid w:val="00A62A81"/>
    <w:rsid w:val="00A62B07"/>
    <w:rsid w:val="00A62DD4"/>
    <w:rsid w:val="00A65FE3"/>
    <w:rsid w:val="00A662FD"/>
    <w:rsid w:val="00A73655"/>
    <w:rsid w:val="00A7469C"/>
    <w:rsid w:val="00A74F23"/>
    <w:rsid w:val="00A760FC"/>
    <w:rsid w:val="00A768E0"/>
    <w:rsid w:val="00A7705C"/>
    <w:rsid w:val="00A77070"/>
    <w:rsid w:val="00A774EC"/>
    <w:rsid w:val="00A842E7"/>
    <w:rsid w:val="00A84E42"/>
    <w:rsid w:val="00A851D6"/>
    <w:rsid w:val="00A852DC"/>
    <w:rsid w:val="00A87C4E"/>
    <w:rsid w:val="00A9119F"/>
    <w:rsid w:val="00A91E67"/>
    <w:rsid w:val="00A92EE5"/>
    <w:rsid w:val="00AA1809"/>
    <w:rsid w:val="00AA19CE"/>
    <w:rsid w:val="00AA1E9F"/>
    <w:rsid w:val="00AA20B0"/>
    <w:rsid w:val="00AA45A0"/>
    <w:rsid w:val="00AA5768"/>
    <w:rsid w:val="00AA66D7"/>
    <w:rsid w:val="00AA74BA"/>
    <w:rsid w:val="00AA7657"/>
    <w:rsid w:val="00AB176D"/>
    <w:rsid w:val="00AB1ABA"/>
    <w:rsid w:val="00AB3315"/>
    <w:rsid w:val="00AB3D9D"/>
    <w:rsid w:val="00AB4DF8"/>
    <w:rsid w:val="00AB5BA1"/>
    <w:rsid w:val="00AB6626"/>
    <w:rsid w:val="00AB74AB"/>
    <w:rsid w:val="00AB7805"/>
    <w:rsid w:val="00AC0FD3"/>
    <w:rsid w:val="00AC19AB"/>
    <w:rsid w:val="00AC2499"/>
    <w:rsid w:val="00AD0D8C"/>
    <w:rsid w:val="00AD3D3C"/>
    <w:rsid w:val="00AD64CC"/>
    <w:rsid w:val="00AD672F"/>
    <w:rsid w:val="00AE02B2"/>
    <w:rsid w:val="00AE20D5"/>
    <w:rsid w:val="00AE32F5"/>
    <w:rsid w:val="00AE39AC"/>
    <w:rsid w:val="00AE3C5D"/>
    <w:rsid w:val="00AE45FC"/>
    <w:rsid w:val="00AE4F43"/>
    <w:rsid w:val="00AE544A"/>
    <w:rsid w:val="00AE6EB1"/>
    <w:rsid w:val="00AE755C"/>
    <w:rsid w:val="00AF1140"/>
    <w:rsid w:val="00AF13E1"/>
    <w:rsid w:val="00AF150B"/>
    <w:rsid w:val="00AF1B39"/>
    <w:rsid w:val="00AF1BB1"/>
    <w:rsid w:val="00AF45E2"/>
    <w:rsid w:val="00AF641A"/>
    <w:rsid w:val="00AF6E07"/>
    <w:rsid w:val="00AF77F8"/>
    <w:rsid w:val="00B003EF"/>
    <w:rsid w:val="00B0100D"/>
    <w:rsid w:val="00B01086"/>
    <w:rsid w:val="00B025A1"/>
    <w:rsid w:val="00B07A5F"/>
    <w:rsid w:val="00B105F2"/>
    <w:rsid w:val="00B11BDE"/>
    <w:rsid w:val="00B1235A"/>
    <w:rsid w:val="00B12BF4"/>
    <w:rsid w:val="00B13009"/>
    <w:rsid w:val="00B1380E"/>
    <w:rsid w:val="00B157A2"/>
    <w:rsid w:val="00B20FFF"/>
    <w:rsid w:val="00B23B6C"/>
    <w:rsid w:val="00B24389"/>
    <w:rsid w:val="00B2592F"/>
    <w:rsid w:val="00B2619A"/>
    <w:rsid w:val="00B27F13"/>
    <w:rsid w:val="00B30018"/>
    <w:rsid w:val="00B30E97"/>
    <w:rsid w:val="00B310F0"/>
    <w:rsid w:val="00B33B5C"/>
    <w:rsid w:val="00B34637"/>
    <w:rsid w:val="00B34AB2"/>
    <w:rsid w:val="00B34D2A"/>
    <w:rsid w:val="00B354F7"/>
    <w:rsid w:val="00B36A9F"/>
    <w:rsid w:val="00B36AC4"/>
    <w:rsid w:val="00B44CEE"/>
    <w:rsid w:val="00B45751"/>
    <w:rsid w:val="00B46B71"/>
    <w:rsid w:val="00B5016E"/>
    <w:rsid w:val="00B5104A"/>
    <w:rsid w:val="00B527A8"/>
    <w:rsid w:val="00B54CBE"/>
    <w:rsid w:val="00B553CF"/>
    <w:rsid w:val="00B556DF"/>
    <w:rsid w:val="00B557B7"/>
    <w:rsid w:val="00B576DD"/>
    <w:rsid w:val="00B627D8"/>
    <w:rsid w:val="00B6714B"/>
    <w:rsid w:val="00B672C6"/>
    <w:rsid w:val="00B70F2A"/>
    <w:rsid w:val="00B72C9D"/>
    <w:rsid w:val="00B72DC1"/>
    <w:rsid w:val="00B77FBC"/>
    <w:rsid w:val="00B82369"/>
    <w:rsid w:val="00B85662"/>
    <w:rsid w:val="00B86FE4"/>
    <w:rsid w:val="00B87A95"/>
    <w:rsid w:val="00B921BB"/>
    <w:rsid w:val="00B96D39"/>
    <w:rsid w:val="00B979D8"/>
    <w:rsid w:val="00B979EC"/>
    <w:rsid w:val="00BA460E"/>
    <w:rsid w:val="00BA482E"/>
    <w:rsid w:val="00BA5E00"/>
    <w:rsid w:val="00BA68D1"/>
    <w:rsid w:val="00BB3C12"/>
    <w:rsid w:val="00BB3EC1"/>
    <w:rsid w:val="00BB60AC"/>
    <w:rsid w:val="00BB6709"/>
    <w:rsid w:val="00BC163E"/>
    <w:rsid w:val="00BC7A8B"/>
    <w:rsid w:val="00BD44DC"/>
    <w:rsid w:val="00BD4CF8"/>
    <w:rsid w:val="00BD65FD"/>
    <w:rsid w:val="00BE0735"/>
    <w:rsid w:val="00BE1E52"/>
    <w:rsid w:val="00BE21E6"/>
    <w:rsid w:val="00BE27FA"/>
    <w:rsid w:val="00BE2D3D"/>
    <w:rsid w:val="00BE58AF"/>
    <w:rsid w:val="00BE5B3C"/>
    <w:rsid w:val="00BE6358"/>
    <w:rsid w:val="00BF0ABD"/>
    <w:rsid w:val="00BF160F"/>
    <w:rsid w:val="00BF22EA"/>
    <w:rsid w:val="00BF5C3C"/>
    <w:rsid w:val="00BF6C5D"/>
    <w:rsid w:val="00BF73BD"/>
    <w:rsid w:val="00BF7705"/>
    <w:rsid w:val="00BF7BEE"/>
    <w:rsid w:val="00C033C2"/>
    <w:rsid w:val="00C05A3D"/>
    <w:rsid w:val="00C0613E"/>
    <w:rsid w:val="00C1130A"/>
    <w:rsid w:val="00C127AA"/>
    <w:rsid w:val="00C1512A"/>
    <w:rsid w:val="00C163F6"/>
    <w:rsid w:val="00C16B24"/>
    <w:rsid w:val="00C21968"/>
    <w:rsid w:val="00C245D6"/>
    <w:rsid w:val="00C25ADA"/>
    <w:rsid w:val="00C27F4A"/>
    <w:rsid w:val="00C3000A"/>
    <w:rsid w:val="00C30C29"/>
    <w:rsid w:val="00C341FA"/>
    <w:rsid w:val="00C35306"/>
    <w:rsid w:val="00C370BD"/>
    <w:rsid w:val="00C427B5"/>
    <w:rsid w:val="00C43EF8"/>
    <w:rsid w:val="00C50EAE"/>
    <w:rsid w:val="00C52258"/>
    <w:rsid w:val="00C5497B"/>
    <w:rsid w:val="00C568FB"/>
    <w:rsid w:val="00C60BA1"/>
    <w:rsid w:val="00C62205"/>
    <w:rsid w:val="00C63E4F"/>
    <w:rsid w:val="00C64174"/>
    <w:rsid w:val="00C65A10"/>
    <w:rsid w:val="00C66F99"/>
    <w:rsid w:val="00C67DD7"/>
    <w:rsid w:val="00C735F5"/>
    <w:rsid w:val="00C81221"/>
    <w:rsid w:val="00C82950"/>
    <w:rsid w:val="00C82E83"/>
    <w:rsid w:val="00C82FA6"/>
    <w:rsid w:val="00C8330A"/>
    <w:rsid w:val="00C8449D"/>
    <w:rsid w:val="00C86259"/>
    <w:rsid w:val="00C92554"/>
    <w:rsid w:val="00C9358A"/>
    <w:rsid w:val="00C95F53"/>
    <w:rsid w:val="00C96D02"/>
    <w:rsid w:val="00C97AA5"/>
    <w:rsid w:val="00CA1392"/>
    <w:rsid w:val="00CA170E"/>
    <w:rsid w:val="00CA1DBF"/>
    <w:rsid w:val="00CA2368"/>
    <w:rsid w:val="00CA2764"/>
    <w:rsid w:val="00CA2958"/>
    <w:rsid w:val="00CA37A4"/>
    <w:rsid w:val="00CA59FA"/>
    <w:rsid w:val="00CA6130"/>
    <w:rsid w:val="00CA646F"/>
    <w:rsid w:val="00CA654F"/>
    <w:rsid w:val="00CA6AE6"/>
    <w:rsid w:val="00CA710B"/>
    <w:rsid w:val="00CA794B"/>
    <w:rsid w:val="00CB046B"/>
    <w:rsid w:val="00CB36BA"/>
    <w:rsid w:val="00CB36D1"/>
    <w:rsid w:val="00CB4342"/>
    <w:rsid w:val="00CB75BA"/>
    <w:rsid w:val="00CC3131"/>
    <w:rsid w:val="00CC4394"/>
    <w:rsid w:val="00CC56FC"/>
    <w:rsid w:val="00CC7864"/>
    <w:rsid w:val="00CD20FF"/>
    <w:rsid w:val="00CD2933"/>
    <w:rsid w:val="00CD35D6"/>
    <w:rsid w:val="00CD35F4"/>
    <w:rsid w:val="00CE0202"/>
    <w:rsid w:val="00CE1373"/>
    <w:rsid w:val="00CE15EC"/>
    <w:rsid w:val="00CE17E2"/>
    <w:rsid w:val="00CE3953"/>
    <w:rsid w:val="00CE6428"/>
    <w:rsid w:val="00CE68E2"/>
    <w:rsid w:val="00CE7B77"/>
    <w:rsid w:val="00CF015A"/>
    <w:rsid w:val="00CF2EE9"/>
    <w:rsid w:val="00CF2FBD"/>
    <w:rsid w:val="00CF3410"/>
    <w:rsid w:val="00CF3D30"/>
    <w:rsid w:val="00CF4D58"/>
    <w:rsid w:val="00D00E2E"/>
    <w:rsid w:val="00D02061"/>
    <w:rsid w:val="00D067D4"/>
    <w:rsid w:val="00D1347A"/>
    <w:rsid w:val="00D138F2"/>
    <w:rsid w:val="00D139B0"/>
    <w:rsid w:val="00D14145"/>
    <w:rsid w:val="00D172E5"/>
    <w:rsid w:val="00D20834"/>
    <w:rsid w:val="00D22822"/>
    <w:rsid w:val="00D22B6E"/>
    <w:rsid w:val="00D25B90"/>
    <w:rsid w:val="00D26CDE"/>
    <w:rsid w:val="00D27005"/>
    <w:rsid w:val="00D27DC4"/>
    <w:rsid w:val="00D304EC"/>
    <w:rsid w:val="00D31F67"/>
    <w:rsid w:val="00D3318E"/>
    <w:rsid w:val="00D33CF9"/>
    <w:rsid w:val="00D40ADC"/>
    <w:rsid w:val="00D42910"/>
    <w:rsid w:val="00D462A9"/>
    <w:rsid w:val="00D47BA6"/>
    <w:rsid w:val="00D5029B"/>
    <w:rsid w:val="00D50E46"/>
    <w:rsid w:val="00D51475"/>
    <w:rsid w:val="00D52292"/>
    <w:rsid w:val="00D5309B"/>
    <w:rsid w:val="00D53398"/>
    <w:rsid w:val="00D54E4C"/>
    <w:rsid w:val="00D60C9C"/>
    <w:rsid w:val="00D61D9F"/>
    <w:rsid w:val="00D61F87"/>
    <w:rsid w:val="00D625A0"/>
    <w:rsid w:val="00D6361F"/>
    <w:rsid w:val="00D63A92"/>
    <w:rsid w:val="00D644CA"/>
    <w:rsid w:val="00D65112"/>
    <w:rsid w:val="00D71CE1"/>
    <w:rsid w:val="00D71D9C"/>
    <w:rsid w:val="00D71FA3"/>
    <w:rsid w:val="00D765F5"/>
    <w:rsid w:val="00D80F23"/>
    <w:rsid w:val="00D82DE6"/>
    <w:rsid w:val="00D86F28"/>
    <w:rsid w:val="00D876F6"/>
    <w:rsid w:val="00D9199C"/>
    <w:rsid w:val="00D92834"/>
    <w:rsid w:val="00D9436D"/>
    <w:rsid w:val="00D951E5"/>
    <w:rsid w:val="00D95599"/>
    <w:rsid w:val="00D971C1"/>
    <w:rsid w:val="00DA22AC"/>
    <w:rsid w:val="00DA2780"/>
    <w:rsid w:val="00DA4CEC"/>
    <w:rsid w:val="00DA678C"/>
    <w:rsid w:val="00DA7E05"/>
    <w:rsid w:val="00DB58FA"/>
    <w:rsid w:val="00DB7D6F"/>
    <w:rsid w:val="00DC15C1"/>
    <w:rsid w:val="00DC1803"/>
    <w:rsid w:val="00DC2651"/>
    <w:rsid w:val="00DD0865"/>
    <w:rsid w:val="00DD495E"/>
    <w:rsid w:val="00DD4C3B"/>
    <w:rsid w:val="00DD6623"/>
    <w:rsid w:val="00DD781A"/>
    <w:rsid w:val="00DD7AEC"/>
    <w:rsid w:val="00DE72E3"/>
    <w:rsid w:val="00DF3363"/>
    <w:rsid w:val="00DF64DD"/>
    <w:rsid w:val="00DF75DA"/>
    <w:rsid w:val="00DF7741"/>
    <w:rsid w:val="00DF7B5A"/>
    <w:rsid w:val="00DF7C22"/>
    <w:rsid w:val="00E000B4"/>
    <w:rsid w:val="00E01980"/>
    <w:rsid w:val="00E02871"/>
    <w:rsid w:val="00E02CE6"/>
    <w:rsid w:val="00E0316D"/>
    <w:rsid w:val="00E05697"/>
    <w:rsid w:val="00E05C8D"/>
    <w:rsid w:val="00E07086"/>
    <w:rsid w:val="00E10CA9"/>
    <w:rsid w:val="00E10CAD"/>
    <w:rsid w:val="00E1235F"/>
    <w:rsid w:val="00E12B33"/>
    <w:rsid w:val="00E1438A"/>
    <w:rsid w:val="00E1683C"/>
    <w:rsid w:val="00E25F40"/>
    <w:rsid w:val="00E36A46"/>
    <w:rsid w:val="00E37540"/>
    <w:rsid w:val="00E37B40"/>
    <w:rsid w:val="00E40E27"/>
    <w:rsid w:val="00E41D3C"/>
    <w:rsid w:val="00E42369"/>
    <w:rsid w:val="00E42F0D"/>
    <w:rsid w:val="00E446D7"/>
    <w:rsid w:val="00E454EC"/>
    <w:rsid w:val="00E553D6"/>
    <w:rsid w:val="00E569BB"/>
    <w:rsid w:val="00E64A5B"/>
    <w:rsid w:val="00E655DC"/>
    <w:rsid w:val="00E70B96"/>
    <w:rsid w:val="00E756E5"/>
    <w:rsid w:val="00E75C82"/>
    <w:rsid w:val="00E8033B"/>
    <w:rsid w:val="00E8075D"/>
    <w:rsid w:val="00E823E1"/>
    <w:rsid w:val="00E860ED"/>
    <w:rsid w:val="00E86CE7"/>
    <w:rsid w:val="00E8744C"/>
    <w:rsid w:val="00E90349"/>
    <w:rsid w:val="00E90A0A"/>
    <w:rsid w:val="00E93C13"/>
    <w:rsid w:val="00E9464E"/>
    <w:rsid w:val="00E95543"/>
    <w:rsid w:val="00E97F4E"/>
    <w:rsid w:val="00EA0F8A"/>
    <w:rsid w:val="00EA3D9A"/>
    <w:rsid w:val="00EA40EF"/>
    <w:rsid w:val="00EA4A66"/>
    <w:rsid w:val="00EA5F37"/>
    <w:rsid w:val="00EB1ECE"/>
    <w:rsid w:val="00EB3F6A"/>
    <w:rsid w:val="00EB497E"/>
    <w:rsid w:val="00EB672D"/>
    <w:rsid w:val="00EB6E99"/>
    <w:rsid w:val="00EB7D14"/>
    <w:rsid w:val="00EC1A09"/>
    <w:rsid w:val="00EC1BB9"/>
    <w:rsid w:val="00EC2807"/>
    <w:rsid w:val="00EC33DA"/>
    <w:rsid w:val="00EC56C5"/>
    <w:rsid w:val="00EC677D"/>
    <w:rsid w:val="00ED1890"/>
    <w:rsid w:val="00ED5107"/>
    <w:rsid w:val="00ED568F"/>
    <w:rsid w:val="00ED686C"/>
    <w:rsid w:val="00EE3451"/>
    <w:rsid w:val="00EE4E45"/>
    <w:rsid w:val="00EE5345"/>
    <w:rsid w:val="00EE57DC"/>
    <w:rsid w:val="00EE74EB"/>
    <w:rsid w:val="00EF4A83"/>
    <w:rsid w:val="00EF4D56"/>
    <w:rsid w:val="00EF5390"/>
    <w:rsid w:val="00EF5624"/>
    <w:rsid w:val="00EF7FF9"/>
    <w:rsid w:val="00F03CFC"/>
    <w:rsid w:val="00F0545F"/>
    <w:rsid w:val="00F05EDA"/>
    <w:rsid w:val="00F061C5"/>
    <w:rsid w:val="00F1246B"/>
    <w:rsid w:val="00F12E69"/>
    <w:rsid w:val="00F14811"/>
    <w:rsid w:val="00F16202"/>
    <w:rsid w:val="00F26D1C"/>
    <w:rsid w:val="00F27515"/>
    <w:rsid w:val="00F3025F"/>
    <w:rsid w:val="00F3187C"/>
    <w:rsid w:val="00F326F8"/>
    <w:rsid w:val="00F34A0B"/>
    <w:rsid w:val="00F4083E"/>
    <w:rsid w:val="00F415C1"/>
    <w:rsid w:val="00F439D8"/>
    <w:rsid w:val="00F43AA6"/>
    <w:rsid w:val="00F43DA1"/>
    <w:rsid w:val="00F43FBC"/>
    <w:rsid w:val="00F445DD"/>
    <w:rsid w:val="00F47963"/>
    <w:rsid w:val="00F50352"/>
    <w:rsid w:val="00F51D61"/>
    <w:rsid w:val="00F5357A"/>
    <w:rsid w:val="00F54063"/>
    <w:rsid w:val="00F552BD"/>
    <w:rsid w:val="00F560FD"/>
    <w:rsid w:val="00F60CB3"/>
    <w:rsid w:val="00F62626"/>
    <w:rsid w:val="00F63002"/>
    <w:rsid w:val="00F647E8"/>
    <w:rsid w:val="00F64B9E"/>
    <w:rsid w:val="00F65FE7"/>
    <w:rsid w:val="00F66CAA"/>
    <w:rsid w:val="00F70D4F"/>
    <w:rsid w:val="00F71E66"/>
    <w:rsid w:val="00F7540E"/>
    <w:rsid w:val="00F75586"/>
    <w:rsid w:val="00F77C5F"/>
    <w:rsid w:val="00F77FAF"/>
    <w:rsid w:val="00F808DF"/>
    <w:rsid w:val="00F81DEE"/>
    <w:rsid w:val="00F828BC"/>
    <w:rsid w:val="00F82A88"/>
    <w:rsid w:val="00F85145"/>
    <w:rsid w:val="00F85C9F"/>
    <w:rsid w:val="00F86093"/>
    <w:rsid w:val="00F8753F"/>
    <w:rsid w:val="00F87CE1"/>
    <w:rsid w:val="00F90558"/>
    <w:rsid w:val="00F915C8"/>
    <w:rsid w:val="00F952DF"/>
    <w:rsid w:val="00F95B16"/>
    <w:rsid w:val="00F95EE0"/>
    <w:rsid w:val="00F96716"/>
    <w:rsid w:val="00F972D4"/>
    <w:rsid w:val="00FA062D"/>
    <w:rsid w:val="00FA2180"/>
    <w:rsid w:val="00FA2EBB"/>
    <w:rsid w:val="00FA472D"/>
    <w:rsid w:val="00FA50DC"/>
    <w:rsid w:val="00FA519B"/>
    <w:rsid w:val="00FA7665"/>
    <w:rsid w:val="00FB0F4F"/>
    <w:rsid w:val="00FB26E2"/>
    <w:rsid w:val="00FB3467"/>
    <w:rsid w:val="00FB3A7C"/>
    <w:rsid w:val="00FB3D40"/>
    <w:rsid w:val="00FB42C4"/>
    <w:rsid w:val="00FB4B66"/>
    <w:rsid w:val="00FB5FE7"/>
    <w:rsid w:val="00FB7C86"/>
    <w:rsid w:val="00FC2394"/>
    <w:rsid w:val="00FC6440"/>
    <w:rsid w:val="00FC649E"/>
    <w:rsid w:val="00FC6F41"/>
    <w:rsid w:val="00FD0E69"/>
    <w:rsid w:val="00FD7C5E"/>
    <w:rsid w:val="00FD7DED"/>
    <w:rsid w:val="00FE1E1A"/>
    <w:rsid w:val="00FE3117"/>
    <w:rsid w:val="00FE5EBE"/>
    <w:rsid w:val="00FE651A"/>
    <w:rsid w:val="00FE7166"/>
    <w:rsid w:val="00FF0416"/>
    <w:rsid w:val="00FF39C6"/>
    <w:rsid w:val="00FF5389"/>
    <w:rsid w:val="00FF549F"/>
    <w:rsid w:val="00FF6682"/>
    <w:rsid w:val="02793D96"/>
    <w:rsid w:val="02EF04C5"/>
    <w:rsid w:val="03393105"/>
    <w:rsid w:val="035E700F"/>
    <w:rsid w:val="037B526A"/>
    <w:rsid w:val="03A82039"/>
    <w:rsid w:val="040E3DF0"/>
    <w:rsid w:val="04561A95"/>
    <w:rsid w:val="05746676"/>
    <w:rsid w:val="05AD2937"/>
    <w:rsid w:val="05F83D8C"/>
    <w:rsid w:val="06AA7130"/>
    <w:rsid w:val="071E48A3"/>
    <w:rsid w:val="07386071"/>
    <w:rsid w:val="0781795C"/>
    <w:rsid w:val="07A576FD"/>
    <w:rsid w:val="08795696"/>
    <w:rsid w:val="088968DD"/>
    <w:rsid w:val="089B06F3"/>
    <w:rsid w:val="08D77648"/>
    <w:rsid w:val="09531647"/>
    <w:rsid w:val="09ED69F7"/>
    <w:rsid w:val="0A3D172D"/>
    <w:rsid w:val="0A4F320E"/>
    <w:rsid w:val="0A854E82"/>
    <w:rsid w:val="0A94658D"/>
    <w:rsid w:val="0B761E8C"/>
    <w:rsid w:val="0BA61553"/>
    <w:rsid w:val="0C0A1AE2"/>
    <w:rsid w:val="0C172E90"/>
    <w:rsid w:val="0C1A784C"/>
    <w:rsid w:val="0C2661F0"/>
    <w:rsid w:val="0CED3E56"/>
    <w:rsid w:val="0D004C93"/>
    <w:rsid w:val="0D785176"/>
    <w:rsid w:val="0F2C23CD"/>
    <w:rsid w:val="101A42BE"/>
    <w:rsid w:val="101C0036"/>
    <w:rsid w:val="106317C1"/>
    <w:rsid w:val="10EA3DEA"/>
    <w:rsid w:val="112C6057"/>
    <w:rsid w:val="112D6EFE"/>
    <w:rsid w:val="113F260F"/>
    <w:rsid w:val="11E20E0C"/>
    <w:rsid w:val="11EE77B0"/>
    <w:rsid w:val="128D123C"/>
    <w:rsid w:val="147F0B94"/>
    <w:rsid w:val="1548367B"/>
    <w:rsid w:val="154975B9"/>
    <w:rsid w:val="155F0FB8"/>
    <w:rsid w:val="15691CA9"/>
    <w:rsid w:val="15966195"/>
    <w:rsid w:val="161578BF"/>
    <w:rsid w:val="16491459"/>
    <w:rsid w:val="1693735E"/>
    <w:rsid w:val="17667DE9"/>
    <w:rsid w:val="17C16346"/>
    <w:rsid w:val="17CA6ACB"/>
    <w:rsid w:val="19C36F0D"/>
    <w:rsid w:val="1A4D5E66"/>
    <w:rsid w:val="1B0911B7"/>
    <w:rsid w:val="1B7C175B"/>
    <w:rsid w:val="1C286568"/>
    <w:rsid w:val="1C366317"/>
    <w:rsid w:val="1C5B2505"/>
    <w:rsid w:val="1CA05B4B"/>
    <w:rsid w:val="1CBC4A15"/>
    <w:rsid w:val="1E4D747A"/>
    <w:rsid w:val="1E57048B"/>
    <w:rsid w:val="1EED082F"/>
    <w:rsid w:val="1F334A54"/>
    <w:rsid w:val="1FFC0769"/>
    <w:rsid w:val="1FFC12EA"/>
    <w:rsid w:val="20D86DFA"/>
    <w:rsid w:val="21346A8D"/>
    <w:rsid w:val="21D96CD9"/>
    <w:rsid w:val="21FE759C"/>
    <w:rsid w:val="22083365"/>
    <w:rsid w:val="22AD2D70"/>
    <w:rsid w:val="23F87ADF"/>
    <w:rsid w:val="245259EC"/>
    <w:rsid w:val="249D7540"/>
    <w:rsid w:val="253A4A09"/>
    <w:rsid w:val="254E4396"/>
    <w:rsid w:val="254F5F9B"/>
    <w:rsid w:val="26720558"/>
    <w:rsid w:val="26BE2184"/>
    <w:rsid w:val="26F55A28"/>
    <w:rsid w:val="28010753"/>
    <w:rsid w:val="28BB61E6"/>
    <w:rsid w:val="28FA4ACB"/>
    <w:rsid w:val="29744173"/>
    <w:rsid w:val="2B3E2DB2"/>
    <w:rsid w:val="2BA87CC2"/>
    <w:rsid w:val="2BB01640"/>
    <w:rsid w:val="2BD733B6"/>
    <w:rsid w:val="2C190C6A"/>
    <w:rsid w:val="2C387B4E"/>
    <w:rsid w:val="2CA67805"/>
    <w:rsid w:val="2CC3566A"/>
    <w:rsid w:val="2CE90E48"/>
    <w:rsid w:val="2D0B0D00"/>
    <w:rsid w:val="2D5A6D7E"/>
    <w:rsid w:val="2E1662A0"/>
    <w:rsid w:val="2E3D769E"/>
    <w:rsid w:val="2F3E547B"/>
    <w:rsid w:val="30977539"/>
    <w:rsid w:val="31052FA1"/>
    <w:rsid w:val="311A3632"/>
    <w:rsid w:val="3139239E"/>
    <w:rsid w:val="31624F2A"/>
    <w:rsid w:val="31746B51"/>
    <w:rsid w:val="32180206"/>
    <w:rsid w:val="322964CF"/>
    <w:rsid w:val="32395A2F"/>
    <w:rsid w:val="32AB62A4"/>
    <w:rsid w:val="32B14BF2"/>
    <w:rsid w:val="32FE21E2"/>
    <w:rsid w:val="33200406"/>
    <w:rsid w:val="337A7122"/>
    <w:rsid w:val="33BC1065"/>
    <w:rsid w:val="341E5B89"/>
    <w:rsid w:val="34F14D3E"/>
    <w:rsid w:val="35DC59EE"/>
    <w:rsid w:val="35E37D1E"/>
    <w:rsid w:val="362829E1"/>
    <w:rsid w:val="362A59FE"/>
    <w:rsid w:val="363E3FB3"/>
    <w:rsid w:val="365732C7"/>
    <w:rsid w:val="36BD75CE"/>
    <w:rsid w:val="37152F66"/>
    <w:rsid w:val="37D52C1E"/>
    <w:rsid w:val="381D46DD"/>
    <w:rsid w:val="38777084"/>
    <w:rsid w:val="38AB0BAE"/>
    <w:rsid w:val="39D76C43"/>
    <w:rsid w:val="3AD877EC"/>
    <w:rsid w:val="3B227852"/>
    <w:rsid w:val="3B6F2754"/>
    <w:rsid w:val="3BE20D07"/>
    <w:rsid w:val="3CD76F0F"/>
    <w:rsid w:val="3CEE79E4"/>
    <w:rsid w:val="3D4D42AA"/>
    <w:rsid w:val="3E2E7003"/>
    <w:rsid w:val="3E9A6446"/>
    <w:rsid w:val="3EA72781"/>
    <w:rsid w:val="3EF748EF"/>
    <w:rsid w:val="3F1E31CF"/>
    <w:rsid w:val="3FB90E32"/>
    <w:rsid w:val="402F0F2A"/>
    <w:rsid w:val="40594540"/>
    <w:rsid w:val="40C01A70"/>
    <w:rsid w:val="413C620D"/>
    <w:rsid w:val="424C54E0"/>
    <w:rsid w:val="42642FF3"/>
    <w:rsid w:val="42AF2BD7"/>
    <w:rsid w:val="435412BA"/>
    <w:rsid w:val="448206E5"/>
    <w:rsid w:val="45181E73"/>
    <w:rsid w:val="459260C9"/>
    <w:rsid w:val="465705B6"/>
    <w:rsid w:val="46DA20C6"/>
    <w:rsid w:val="47633EF1"/>
    <w:rsid w:val="47BF469F"/>
    <w:rsid w:val="480B15BA"/>
    <w:rsid w:val="482A4397"/>
    <w:rsid w:val="48513BED"/>
    <w:rsid w:val="49060960"/>
    <w:rsid w:val="494D32F7"/>
    <w:rsid w:val="49F673F3"/>
    <w:rsid w:val="4B724E4A"/>
    <w:rsid w:val="4BCA423C"/>
    <w:rsid w:val="4BF2170A"/>
    <w:rsid w:val="4C662BE5"/>
    <w:rsid w:val="4C8910AD"/>
    <w:rsid w:val="4CCA5838"/>
    <w:rsid w:val="4D18678F"/>
    <w:rsid w:val="4EDA54BF"/>
    <w:rsid w:val="4F0A713A"/>
    <w:rsid w:val="50495914"/>
    <w:rsid w:val="51143594"/>
    <w:rsid w:val="51273B6A"/>
    <w:rsid w:val="51667706"/>
    <w:rsid w:val="51670541"/>
    <w:rsid w:val="52CA7686"/>
    <w:rsid w:val="53BB1DF0"/>
    <w:rsid w:val="53C02053"/>
    <w:rsid w:val="546862F7"/>
    <w:rsid w:val="54CA318A"/>
    <w:rsid w:val="553B6C3C"/>
    <w:rsid w:val="557D70B7"/>
    <w:rsid w:val="56233B72"/>
    <w:rsid w:val="567535C9"/>
    <w:rsid w:val="56981066"/>
    <w:rsid w:val="5740252C"/>
    <w:rsid w:val="57672F12"/>
    <w:rsid w:val="579556E4"/>
    <w:rsid w:val="57C157E4"/>
    <w:rsid w:val="58270E11"/>
    <w:rsid w:val="591F1F70"/>
    <w:rsid w:val="59C21256"/>
    <w:rsid w:val="5A595D53"/>
    <w:rsid w:val="5A6963E1"/>
    <w:rsid w:val="5AF34C1E"/>
    <w:rsid w:val="5B31374C"/>
    <w:rsid w:val="5B650C39"/>
    <w:rsid w:val="5B687563"/>
    <w:rsid w:val="5BCA2673"/>
    <w:rsid w:val="5CF35248"/>
    <w:rsid w:val="5DF016D2"/>
    <w:rsid w:val="5E171C5F"/>
    <w:rsid w:val="5E666CA6"/>
    <w:rsid w:val="5F3F4774"/>
    <w:rsid w:val="5F84662B"/>
    <w:rsid w:val="5FA707E8"/>
    <w:rsid w:val="6051226A"/>
    <w:rsid w:val="60966616"/>
    <w:rsid w:val="61DB7101"/>
    <w:rsid w:val="6207544F"/>
    <w:rsid w:val="62320415"/>
    <w:rsid w:val="627920B2"/>
    <w:rsid w:val="62E21FE6"/>
    <w:rsid w:val="636F5CA0"/>
    <w:rsid w:val="63FF0976"/>
    <w:rsid w:val="64803865"/>
    <w:rsid w:val="64862095"/>
    <w:rsid w:val="64894208"/>
    <w:rsid w:val="658B6A29"/>
    <w:rsid w:val="65D04378"/>
    <w:rsid w:val="663B7663"/>
    <w:rsid w:val="66F3674E"/>
    <w:rsid w:val="67B7659E"/>
    <w:rsid w:val="67E60E72"/>
    <w:rsid w:val="682F3033"/>
    <w:rsid w:val="691D7507"/>
    <w:rsid w:val="69655BAF"/>
    <w:rsid w:val="6A484E25"/>
    <w:rsid w:val="6B0A3E88"/>
    <w:rsid w:val="6BE02E3B"/>
    <w:rsid w:val="6C8C4C6F"/>
    <w:rsid w:val="6CB342AF"/>
    <w:rsid w:val="6CD375B5"/>
    <w:rsid w:val="6D396CA7"/>
    <w:rsid w:val="6DB516B3"/>
    <w:rsid w:val="6DB91413"/>
    <w:rsid w:val="6DE74955"/>
    <w:rsid w:val="6E166FE8"/>
    <w:rsid w:val="6EE90475"/>
    <w:rsid w:val="6EF2710D"/>
    <w:rsid w:val="6F1E6154"/>
    <w:rsid w:val="6F7E7CC4"/>
    <w:rsid w:val="702C2AF3"/>
    <w:rsid w:val="71D14D66"/>
    <w:rsid w:val="71DD0374"/>
    <w:rsid w:val="72A9667D"/>
    <w:rsid w:val="7337786F"/>
    <w:rsid w:val="73456F57"/>
    <w:rsid w:val="735008A6"/>
    <w:rsid w:val="7440091B"/>
    <w:rsid w:val="746402DE"/>
    <w:rsid w:val="74933140"/>
    <w:rsid w:val="751A116C"/>
    <w:rsid w:val="763D0335"/>
    <w:rsid w:val="7718792D"/>
    <w:rsid w:val="772E53A2"/>
    <w:rsid w:val="77554B23"/>
    <w:rsid w:val="77D0645A"/>
    <w:rsid w:val="784267E4"/>
    <w:rsid w:val="784C0B06"/>
    <w:rsid w:val="786A124A"/>
    <w:rsid w:val="787307A7"/>
    <w:rsid w:val="78DF56F4"/>
    <w:rsid w:val="78FD4062"/>
    <w:rsid w:val="78FF330B"/>
    <w:rsid w:val="79811A9E"/>
    <w:rsid w:val="79823784"/>
    <w:rsid w:val="7A58744C"/>
    <w:rsid w:val="7AB60305"/>
    <w:rsid w:val="7AC627ED"/>
    <w:rsid w:val="7B6C4AD2"/>
    <w:rsid w:val="7B9C5216"/>
    <w:rsid w:val="7BA511B6"/>
    <w:rsid w:val="7C743857"/>
    <w:rsid w:val="7D2E49E7"/>
    <w:rsid w:val="7D7C7140"/>
    <w:rsid w:val="7D817FF3"/>
    <w:rsid w:val="7DB34557"/>
    <w:rsid w:val="7DD571C5"/>
    <w:rsid w:val="7E8A337E"/>
    <w:rsid w:val="7F4D3084"/>
    <w:rsid w:val="7FAA759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iPriority="9"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iPriority="99"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pPr>
    <w:rPr>
      <w:rFonts w:ascii="宋体" w:hAnsi="宋体" w:eastAsia="宋体" w:cs="宋体"/>
      <w:sz w:val="22"/>
      <w:szCs w:val="22"/>
      <w:lang w:val="en-US" w:eastAsia="en-US" w:bidi="ar-SA"/>
    </w:rPr>
  </w:style>
  <w:style w:type="paragraph" w:styleId="2">
    <w:name w:val="heading 1"/>
    <w:basedOn w:val="1"/>
    <w:qFormat/>
    <w:uiPriority w:val="1"/>
    <w:pPr>
      <w:ind w:left="609"/>
      <w:outlineLvl w:val="0"/>
    </w:pPr>
    <w:rPr>
      <w:b/>
      <w:bCs/>
      <w:sz w:val="29"/>
      <w:szCs w:val="29"/>
    </w:rPr>
  </w:style>
  <w:style w:type="paragraph" w:styleId="3">
    <w:name w:val="heading 2"/>
    <w:basedOn w:val="1"/>
    <w:next w:val="1"/>
    <w:link w:val="23"/>
    <w:semiHidden/>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25"/>
    <w:unhideWhenUsed/>
    <w:qFormat/>
    <w:uiPriority w:val="9"/>
    <w:pPr>
      <w:keepNext/>
      <w:keepLines/>
      <w:spacing w:before="260" w:after="260" w:line="416" w:lineRule="auto"/>
      <w:outlineLvl w:val="2"/>
    </w:pPr>
    <w:rPr>
      <w:b/>
      <w:bCs/>
      <w:sz w:val="32"/>
      <w:szCs w:val="32"/>
    </w:rPr>
  </w:style>
  <w:style w:type="character" w:default="1" w:styleId="16">
    <w:name w:val="Default Paragraph Font"/>
    <w:semiHidden/>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styleId="5">
    <w:name w:val="annotation text"/>
    <w:basedOn w:val="1"/>
    <w:link w:val="28"/>
    <w:unhideWhenUsed/>
    <w:qFormat/>
    <w:uiPriority w:val="99"/>
  </w:style>
  <w:style w:type="paragraph" w:styleId="6">
    <w:name w:val="Body Text"/>
    <w:basedOn w:val="1"/>
    <w:link w:val="24"/>
    <w:qFormat/>
    <w:uiPriority w:val="1"/>
    <w:rPr>
      <w:sz w:val="24"/>
      <w:szCs w:val="24"/>
    </w:rPr>
  </w:style>
  <w:style w:type="paragraph" w:styleId="7">
    <w:name w:val="Balloon Text"/>
    <w:basedOn w:val="1"/>
    <w:link w:val="26"/>
    <w:semiHidden/>
    <w:unhideWhenUsed/>
    <w:qFormat/>
    <w:uiPriority w:val="99"/>
    <w:rPr>
      <w:sz w:val="18"/>
      <w:szCs w:val="18"/>
    </w:rPr>
  </w:style>
  <w:style w:type="paragraph" w:styleId="8">
    <w:name w:val="footer"/>
    <w:basedOn w:val="1"/>
    <w:link w:val="27"/>
    <w:qFormat/>
    <w:uiPriority w:val="99"/>
    <w:pPr>
      <w:tabs>
        <w:tab w:val="center" w:pos="4153"/>
        <w:tab w:val="right" w:pos="8306"/>
      </w:tabs>
      <w:autoSpaceDE/>
      <w:autoSpaceDN/>
      <w:snapToGrid w:val="0"/>
      <w:ind w:firstLine="643" w:firstLineChars="200"/>
    </w:pPr>
    <w:rPr>
      <w:rFonts w:asciiTheme="minorHAnsi" w:hAnsiTheme="minorHAnsi" w:eastAsiaTheme="minorEastAsia" w:cstheme="minorBidi"/>
      <w:kern w:val="2"/>
      <w:sz w:val="18"/>
      <w:szCs w:val="18"/>
      <w:lang w:eastAsia="zh-CN"/>
    </w:rPr>
  </w:style>
  <w:style w:type="paragraph" w:styleId="9">
    <w:name w:val="header"/>
    <w:basedOn w:val="1"/>
    <w:link w:val="31"/>
    <w:unhideWhenUsed/>
    <w:qFormat/>
    <w:uiPriority w:val="99"/>
    <w:pPr>
      <w:tabs>
        <w:tab w:val="center" w:pos="4153"/>
        <w:tab w:val="right" w:pos="8306"/>
      </w:tabs>
      <w:snapToGrid w:val="0"/>
      <w:jc w:val="center"/>
    </w:pPr>
    <w:rPr>
      <w:sz w:val="18"/>
      <w:szCs w:val="18"/>
    </w:rPr>
  </w:style>
  <w:style w:type="paragraph" w:styleId="10">
    <w:name w:val="toc 1"/>
    <w:basedOn w:val="1"/>
    <w:qFormat/>
    <w:uiPriority w:val="39"/>
    <w:pPr>
      <w:spacing w:before="265"/>
      <w:ind w:left="609"/>
    </w:pPr>
    <w:rPr>
      <w:sz w:val="28"/>
      <w:szCs w:val="28"/>
    </w:rPr>
  </w:style>
  <w:style w:type="paragraph" w:styleId="11">
    <w:name w:val="Normal (Web)"/>
    <w:basedOn w:val="1"/>
    <w:semiHidden/>
    <w:unhideWhenUsed/>
    <w:qFormat/>
    <w:uiPriority w:val="99"/>
    <w:pPr>
      <w:widowControl/>
      <w:autoSpaceDE/>
      <w:autoSpaceDN/>
      <w:spacing w:before="100" w:beforeAutospacing="1" w:after="100" w:afterAutospacing="1"/>
    </w:pPr>
    <w:rPr>
      <w:sz w:val="24"/>
      <w:szCs w:val="24"/>
      <w:lang w:eastAsia="zh-CN"/>
    </w:rPr>
  </w:style>
  <w:style w:type="paragraph" w:styleId="12">
    <w:name w:val="annotation subject"/>
    <w:basedOn w:val="5"/>
    <w:next w:val="5"/>
    <w:link w:val="29"/>
    <w:semiHidden/>
    <w:unhideWhenUsed/>
    <w:qFormat/>
    <w:uiPriority w:val="99"/>
    <w:rPr>
      <w:b/>
      <w:bCs/>
    </w:rPr>
  </w:style>
  <w:style w:type="paragraph" w:styleId="13">
    <w:name w:val="Body Text First Indent 2"/>
    <w:basedOn w:val="1"/>
    <w:next w:val="1"/>
    <w:unhideWhenUsed/>
    <w:qFormat/>
    <w:uiPriority w:val="99"/>
    <w:pPr>
      <w:ind w:firstLine="420" w:firstLineChars="200"/>
    </w:pPr>
  </w:style>
  <w:style w:type="table" w:styleId="15">
    <w:name w:val="Table Grid"/>
    <w:basedOn w:val="14"/>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7">
    <w:name w:val="Strong"/>
    <w:qFormat/>
    <w:uiPriority w:val="22"/>
    <w:rPr>
      <w:b/>
      <w:bCs/>
    </w:rPr>
  </w:style>
  <w:style w:type="character" w:styleId="18">
    <w:name w:val="Hyperlink"/>
    <w:basedOn w:val="16"/>
    <w:unhideWhenUsed/>
    <w:qFormat/>
    <w:uiPriority w:val="99"/>
    <w:rPr>
      <w:color w:val="0000FF" w:themeColor="hyperlink"/>
      <w:u w:val="single"/>
    </w:rPr>
  </w:style>
  <w:style w:type="character" w:styleId="19">
    <w:name w:val="annotation reference"/>
    <w:basedOn w:val="16"/>
    <w:semiHidden/>
    <w:unhideWhenUsed/>
    <w:qFormat/>
    <w:uiPriority w:val="99"/>
    <w:rPr>
      <w:sz w:val="21"/>
      <w:szCs w:val="21"/>
    </w:rPr>
  </w:style>
  <w:style w:type="table" w:customStyle="1" w:styleId="20">
    <w:name w:val="Table Normal"/>
    <w:semiHidden/>
    <w:unhideWhenUsed/>
    <w:qFormat/>
    <w:uiPriority w:val="2"/>
    <w:tblPr>
      <w:tblCellMar>
        <w:top w:w="0" w:type="dxa"/>
        <w:left w:w="0" w:type="dxa"/>
        <w:bottom w:w="0" w:type="dxa"/>
        <w:right w:w="0" w:type="dxa"/>
      </w:tblCellMar>
    </w:tblPr>
  </w:style>
  <w:style w:type="paragraph" w:styleId="21">
    <w:name w:val="List Paragraph"/>
    <w:basedOn w:val="1"/>
    <w:qFormat/>
    <w:uiPriority w:val="1"/>
    <w:pPr>
      <w:spacing w:before="161"/>
      <w:ind w:left="1897" w:hanging="721"/>
    </w:pPr>
  </w:style>
  <w:style w:type="paragraph" w:customStyle="1" w:styleId="22">
    <w:name w:val="Table Paragraph"/>
    <w:basedOn w:val="1"/>
    <w:qFormat/>
    <w:uiPriority w:val="1"/>
  </w:style>
  <w:style w:type="character" w:customStyle="1" w:styleId="23">
    <w:name w:val="标题 2 Char"/>
    <w:basedOn w:val="16"/>
    <w:link w:val="3"/>
    <w:semiHidden/>
    <w:qFormat/>
    <w:uiPriority w:val="9"/>
    <w:rPr>
      <w:rFonts w:asciiTheme="majorHAnsi" w:hAnsiTheme="majorHAnsi" w:eastAsiaTheme="majorEastAsia" w:cstheme="majorBidi"/>
      <w:b/>
      <w:bCs/>
      <w:sz w:val="32"/>
      <w:szCs w:val="32"/>
    </w:rPr>
  </w:style>
  <w:style w:type="character" w:customStyle="1" w:styleId="24">
    <w:name w:val="正文文本 Char"/>
    <w:basedOn w:val="16"/>
    <w:link w:val="6"/>
    <w:qFormat/>
    <w:uiPriority w:val="1"/>
    <w:rPr>
      <w:rFonts w:ascii="宋体" w:hAnsi="宋体" w:eastAsia="宋体" w:cs="宋体"/>
      <w:sz w:val="24"/>
      <w:szCs w:val="24"/>
    </w:rPr>
  </w:style>
  <w:style w:type="character" w:customStyle="1" w:styleId="25">
    <w:name w:val="标题 3 Char"/>
    <w:basedOn w:val="16"/>
    <w:link w:val="4"/>
    <w:qFormat/>
    <w:uiPriority w:val="9"/>
    <w:rPr>
      <w:rFonts w:ascii="宋体" w:hAnsi="宋体" w:eastAsia="宋体" w:cs="宋体"/>
      <w:b/>
      <w:bCs/>
      <w:sz w:val="32"/>
      <w:szCs w:val="32"/>
    </w:rPr>
  </w:style>
  <w:style w:type="character" w:customStyle="1" w:styleId="26">
    <w:name w:val="批注框文本 Char"/>
    <w:basedOn w:val="16"/>
    <w:link w:val="7"/>
    <w:semiHidden/>
    <w:qFormat/>
    <w:uiPriority w:val="99"/>
    <w:rPr>
      <w:rFonts w:ascii="宋体" w:hAnsi="宋体" w:eastAsia="宋体" w:cs="宋体"/>
      <w:sz w:val="18"/>
      <w:szCs w:val="18"/>
    </w:rPr>
  </w:style>
  <w:style w:type="character" w:customStyle="1" w:styleId="27">
    <w:name w:val="页脚 Char"/>
    <w:basedOn w:val="16"/>
    <w:link w:val="8"/>
    <w:qFormat/>
    <w:uiPriority w:val="99"/>
    <w:rPr>
      <w:kern w:val="2"/>
      <w:sz w:val="18"/>
      <w:szCs w:val="18"/>
      <w:lang w:eastAsia="zh-CN"/>
    </w:rPr>
  </w:style>
  <w:style w:type="character" w:customStyle="1" w:styleId="28">
    <w:name w:val="批注文字 Char"/>
    <w:basedOn w:val="16"/>
    <w:link w:val="5"/>
    <w:qFormat/>
    <w:uiPriority w:val="99"/>
    <w:rPr>
      <w:rFonts w:ascii="宋体" w:hAnsi="宋体" w:eastAsia="宋体" w:cs="宋体"/>
    </w:rPr>
  </w:style>
  <w:style w:type="character" w:customStyle="1" w:styleId="29">
    <w:name w:val="批注主题 Char"/>
    <w:basedOn w:val="28"/>
    <w:link w:val="12"/>
    <w:semiHidden/>
    <w:qFormat/>
    <w:uiPriority w:val="99"/>
    <w:rPr>
      <w:rFonts w:ascii="宋体" w:hAnsi="宋体" w:eastAsia="宋体" w:cs="宋体"/>
      <w:b/>
      <w:bCs/>
    </w:rPr>
  </w:style>
  <w:style w:type="table" w:customStyle="1" w:styleId="30">
    <w:name w:val="灰度表格1"/>
    <w:basedOn w:val="14"/>
    <w:qFormat/>
    <w:uiPriority w:val="0"/>
    <w:pPr>
      <w:widowControl/>
      <w:autoSpaceDE/>
      <w:autoSpaceDN/>
      <w:jc w:val="center"/>
    </w:pPr>
    <w:rPr>
      <w:rFonts w:ascii="Times New Roman" w:hAnsi="Times New Roman" w:eastAsia="宋体" w:cs="Times New Roman"/>
      <w:sz w:val="21"/>
      <w:szCs w:val="20"/>
      <w:lang w:eastAsia="zh-CN"/>
    </w:rPr>
    <w:tblPr>
      <w:jc w:val="cente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trPr>
      <w:tblHeader/>
      <w:jc w:val="center"/>
    </w:trPr>
    <w:tcPr>
      <w:vAlign w:val="center"/>
    </w:tcPr>
  </w:style>
  <w:style w:type="character" w:customStyle="1" w:styleId="31">
    <w:name w:val="页眉 Char"/>
    <w:basedOn w:val="16"/>
    <w:link w:val="9"/>
    <w:qFormat/>
    <w:uiPriority w:val="99"/>
    <w:rPr>
      <w:rFonts w:ascii="宋体" w:hAnsi="宋体" w:eastAsia="宋体" w:cs="宋体"/>
      <w:sz w:val="18"/>
      <w:szCs w:val="18"/>
    </w:rPr>
  </w:style>
  <w:style w:type="paragraph" w:customStyle="1" w:styleId="32">
    <w:name w:val="标准文件_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33">
    <w:name w:val="表格内容"/>
    <w:qFormat/>
    <w:uiPriority w:val="0"/>
    <w:pPr>
      <w:jc w:val="center"/>
      <w:textAlignment w:val="center"/>
    </w:pPr>
    <w:rPr>
      <w:rFonts w:ascii="Times New Roman" w:hAnsi="Times New Roman" w:eastAsia="华文仿宋" w:cs="Times New Roman"/>
      <w:kern w:val="2"/>
      <w:sz w:val="21"/>
      <w:szCs w:val="21"/>
      <w:lang w:val="en-US" w:eastAsia="zh-CN" w:bidi="ar-SA"/>
    </w:rPr>
  </w:style>
  <w:style w:type="character" w:customStyle="1" w:styleId="34">
    <w:name w:val="apple-converted-spac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8" Type="http://schemas.openxmlformats.org/officeDocument/2006/relationships/fontTable" Target="fontTable.xml"/><Relationship Id="rId77" Type="http://schemas.openxmlformats.org/officeDocument/2006/relationships/customXml" Target="../customXml/item2.xml"/><Relationship Id="rId76" Type="http://schemas.openxmlformats.org/officeDocument/2006/relationships/numbering" Target="numbering.xml"/><Relationship Id="rId75" Type="http://schemas.openxmlformats.org/officeDocument/2006/relationships/customXml" Target="../customXml/item1.xml"/><Relationship Id="rId74" Type="http://schemas.openxmlformats.org/officeDocument/2006/relationships/image" Target="media/image66.jpeg"/><Relationship Id="rId73" Type="http://schemas.openxmlformats.org/officeDocument/2006/relationships/image" Target="media/image65.jpeg"/><Relationship Id="rId72" Type="http://schemas.openxmlformats.org/officeDocument/2006/relationships/image" Target="media/image64.png"/><Relationship Id="rId71" Type="http://schemas.openxmlformats.org/officeDocument/2006/relationships/image" Target="media/image63.jpeg"/><Relationship Id="rId70" Type="http://schemas.openxmlformats.org/officeDocument/2006/relationships/image" Target="media/image62.png"/><Relationship Id="rId7" Type="http://schemas.openxmlformats.org/officeDocument/2006/relationships/footer" Target="footer5.xml"/><Relationship Id="rId69" Type="http://schemas.openxmlformats.org/officeDocument/2006/relationships/image" Target="media/image61.png"/><Relationship Id="rId68" Type="http://schemas.openxmlformats.org/officeDocument/2006/relationships/image" Target="media/image60.png"/><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png"/><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jpe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footer" Target="footer4.xml"/><Relationship Id="rId59" Type="http://schemas.openxmlformats.org/officeDocument/2006/relationships/image" Target="media/image51.png"/><Relationship Id="rId58" Type="http://schemas.openxmlformats.org/officeDocument/2006/relationships/image" Target="media/image50.jpeg"/><Relationship Id="rId57" Type="http://schemas.openxmlformats.org/officeDocument/2006/relationships/image" Target="media/image49.jpeg"/><Relationship Id="rId56" Type="http://schemas.openxmlformats.org/officeDocument/2006/relationships/image" Target="media/image48.png"/><Relationship Id="rId55" Type="http://schemas.openxmlformats.org/officeDocument/2006/relationships/image" Target="media/image47.jpeg"/><Relationship Id="rId54" Type="http://schemas.openxmlformats.org/officeDocument/2006/relationships/image" Target="media/image46.jpe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3.xml"/><Relationship Id="rId49" Type="http://schemas.openxmlformats.org/officeDocument/2006/relationships/image" Target="media/image41.jpeg"/><Relationship Id="rId48" Type="http://schemas.openxmlformats.org/officeDocument/2006/relationships/image" Target="media/image40.png"/><Relationship Id="rId47" Type="http://schemas.openxmlformats.org/officeDocument/2006/relationships/image" Target="media/image39.jpeg"/><Relationship Id="rId46" Type="http://schemas.openxmlformats.org/officeDocument/2006/relationships/image" Target="media/image38.png"/><Relationship Id="rId45" Type="http://schemas.openxmlformats.org/officeDocument/2006/relationships/image" Target="media/image37.jpe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footer" Target="footer2.xml"/><Relationship Id="rId39" Type="http://schemas.openxmlformats.org/officeDocument/2006/relationships/image" Target="media/image31.jpeg"/><Relationship Id="rId38" Type="http://schemas.openxmlformats.org/officeDocument/2006/relationships/image" Target="media/image30.png"/><Relationship Id="rId37" Type="http://schemas.openxmlformats.org/officeDocument/2006/relationships/image" Target="media/image29.jpe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jpe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jpeg"/><Relationship Id="rId27" Type="http://schemas.openxmlformats.org/officeDocument/2006/relationships/image" Target="media/image19.jpeg"/><Relationship Id="rId26" Type="http://schemas.openxmlformats.org/officeDocument/2006/relationships/image" Target="media/image18.png"/><Relationship Id="rId25" Type="http://schemas.openxmlformats.org/officeDocument/2006/relationships/image" Target="media/image17.jpe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jpeg"/><Relationship Id="rId21" Type="http://schemas.openxmlformats.org/officeDocument/2006/relationships/image" Target="media/image13.pn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jpeg"/><Relationship Id="rId11" Type="http://schemas.openxmlformats.org/officeDocument/2006/relationships/image" Target="media/image3.pn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4098"/>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5CD314F-46C0-4F3F-A60B-7C2BD7424948}">
  <ds:schemaRefs/>
</ds:datastoreItem>
</file>

<file path=docProps/app.xml><?xml version="1.0" encoding="utf-8"?>
<Properties xmlns="http://schemas.openxmlformats.org/officeDocument/2006/extended-properties" xmlns:vt="http://schemas.openxmlformats.org/officeDocument/2006/docPropsVTypes">
  <Template>Normal.dotm</Template>
  <Pages>24</Pages>
  <Words>6759</Words>
  <Characters>6942</Characters>
  <Lines>281</Lines>
  <Paragraphs>79</Paragraphs>
  <TotalTime>1</TotalTime>
  <ScaleCrop>false</ScaleCrop>
  <LinksUpToDate>false</LinksUpToDate>
  <CharactersWithSpaces>7078</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2024-11-05T13:47:00Z</dcterms:created>
  <dc:creator>郭葳</dc:creator>
  <cp:lastModifiedBy>亮子</cp:lastModifiedBy>
  <cp:lastPrinted>2024-04-21T08:04:00Z</cp:lastPrinted>
  <dcterms:modified xsi:type="dcterms:W3CDTF">2026-04-16T02:06:10Z</dcterms:modified>
  <dc:title>集装箱码头超限箱作业规程-编写说明</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Word</vt:lpwstr>
  </property>
  <property fmtid="{D5CDD505-2E9C-101B-9397-08002B2CF9AE}" pid="4" name="LastSaved">
    <vt:filetime>2023-02-06T00:00:00Z</vt:filetime>
  </property>
  <property fmtid="{D5CDD505-2E9C-101B-9397-08002B2CF9AE}" pid="5" name="KSOProductBuildVer">
    <vt:lpwstr>2052-12.1.0.22529</vt:lpwstr>
  </property>
  <property fmtid="{D5CDD505-2E9C-101B-9397-08002B2CF9AE}" pid="6" name="ICV">
    <vt:lpwstr>4307312938C54F73A4901EB76E291E6C_12</vt:lpwstr>
  </property>
  <property fmtid="{D5CDD505-2E9C-101B-9397-08002B2CF9AE}" pid="7" name="KSOTemplateDocerSaveRecord">
    <vt:lpwstr>eyJoZGlkIjoiZTI2NjVmZjkyMmFlMTdkNmQ1MzI5NDJjZGRhZDk2NWYiLCJ1c2VySWQiOiI0MTkxNDQ5ODMifQ==</vt:lpwstr>
  </property>
</Properties>
</file>