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4069A"/>
    <w:p w14:paraId="0FBE139F">
      <w:r>
        <w:rPr>
          <w:rFonts w:hint="eastAsia"/>
        </w:rPr>
        <w:t xml:space="preserve"> </w:t>
      </w:r>
    </w:p>
    <w:p w14:paraId="0A036DCB">
      <w:pPr>
        <w:rPr>
          <w:sz w:val="32"/>
        </w:rPr>
      </w:pPr>
    </w:p>
    <w:p w14:paraId="4097AC9C">
      <w:pPr>
        <w:jc w:val="center"/>
        <w:rPr>
          <w:sz w:val="32"/>
        </w:rPr>
      </w:pPr>
    </w:p>
    <w:p w14:paraId="15C5A86D">
      <w:pPr>
        <w:jc w:val="center"/>
        <w:rPr>
          <w:rFonts w:ascii="黑体" w:hAnsi="黑体" w:eastAsia="黑体"/>
          <w:sz w:val="32"/>
        </w:rPr>
      </w:pPr>
    </w:p>
    <w:p w14:paraId="5ADB2993">
      <w:pPr>
        <w:jc w:val="center"/>
        <w:rPr>
          <w:rFonts w:ascii="黑体" w:hAnsi="黑体" w:eastAsia="黑体"/>
          <w:sz w:val="32"/>
        </w:rPr>
      </w:pPr>
    </w:p>
    <w:p w14:paraId="24D6CD49">
      <w:pPr>
        <w:snapToGrid w:val="0"/>
        <w:spacing w:line="360" w:lineRule="auto"/>
        <w:jc w:val="center"/>
        <w:rPr>
          <w:rFonts w:ascii="黑体" w:hAnsi="黑体" w:eastAsia="黑体"/>
          <w:sz w:val="40"/>
          <w:szCs w:val="44"/>
        </w:rPr>
      </w:pPr>
      <w:r>
        <w:rPr>
          <w:rFonts w:hint="eastAsia" w:ascii="黑体" w:hAnsi="黑体" w:eastAsia="黑体"/>
          <w:sz w:val="40"/>
          <w:szCs w:val="44"/>
        </w:rPr>
        <w:t>《工业园区重金属污染场地应急处置技术指南》</w:t>
      </w:r>
    </w:p>
    <w:p w14:paraId="5F8E3E09">
      <w:pPr>
        <w:snapToGrid w:val="0"/>
        <w:spacing w:line="360" w:lineRule="auto"/>
        <w:jc w:val="center"/>
        <w:rPr>
          <w:rFonts w:ascii="微软雅黑" w:hAnsi="微软雅黑" w:eastAsia="微软雅黑"/>
          <w:sz w:val="32"/>
          <w:szCs w:val="44"/>
        </w:rPr>
      </w:pPr>
      <w:r>
        <w:rPr>
          <w:rFonts w:hint="eastAsia" w:ascii="微软雅黑" w:hAnsi="微软雅黑" w:eastAsia="微软雅黑"/>
          <w:sz w:val="32"/>
          <w:szCs w:val="44"/>
        </w:rPr>
        <w:t>（</w:t>
      </w:r>
      <w:r>
        <w:rPr>
          <w:rFonts w:hint="eastAsia" w:ascii="微软雅黑" w:hAnsi="微软雅黑" w:eastAsia="微软雅黑"/>
          <w:sz w:val="32"/>
          <w:szCs w:val="44"/>
          <w:lang w:val="en-US" w:eastAsia="zh-CN"/>
        </w:rPr>
        <w:t>征求意见稿</w:t>
      </w:r>
      <w:r>
        <w:rPr>
          <w:rFonts w:hint="eastAsia" w:ascii="微软雅黑" w:hAnsi="微软雅黑" w:eastAsia="微软雅黑"/>
          <w:sz w:val="32"/>
          <w:szCs w:val="44"/>
        </w:rPr>
        <w:t>）</w:t>
      </w:r>
    </w:p>
    <w:p w14:paraId="6EEEDB46">
      <w:pPr>
        <w:snapToGrid w:val="0"/>
        <w:spacing w:line="360" w:lineRule="auto"/>
        <w:jc w:val="center"/>
        <w:rPr>
          <w:rFonts w:ascii="宋体" w:hAnsi="宋体"/>
          <w:sz w:val="40"/>
          <w:szCs w:val="44"/>
        </w:rPr>
      </w:pPr>
    </w:p>
    <w:p w14:paraId="5C5EFDDF">
      <w:pPr>
        <w:snapToGrid w:val="0"/>
        <w:spacing w:line="360" w:lineRule="auto"/>
        <w:jc w:val="center"/>
        <w:rPr>
          <w:rFonts w:ascii="宋体" w:hAnsi="宋体"/>
          <w:sz w:val="44"/>
          <w:szCs w:val="44"/>
        </w:rPr>
      </w:pPr>
    </w:p>
    <w:p w14:paraId="433E2E27">
      <w:pPr>
        <w:snapToGrid w:val="0"/>
        <w:spacing w:line="360" w:lineRule="auto"/>
        <w:jc w:val="center"/>
        <w:rPr>
          <w:rFonts w:ascii="黑体" w:hAnsi="黑体" w:eastAsia="黑体"/>
          <w:sz w:val="44"/>
          <w:szCs w:val="44"/>
        </w:rPr>
      </w:pPr>
      <w:r>
        <w:rPr>
          <w:rFonts w:hint="eastAsia" w:ascii="黑体" w:hAnsi="黑体" w:eastAsia="黑体"/>
          <w:sz w:val="44"/>
          <w:szCs w:val="44"/>
        </w:rPr>
        <w:t>编制说明</w:t>
      </w:r>
    </w:p>
    <w:p w14:paraId="437D555A">
      <w:pPr>
        <w:snapToGrid w:val="0"/>
        <w:spacing w:line="360" w:lineRule="auto"/>
        <w:jc w:val="center"/>
        <w:rPr>
          <w:rFonts w:ascii="宋体" w:hAnsi="宋体"/>
          <w:sz w:val="44"/>
          <w:szCs w:val="44"/>
        </w:rPr>
      </w:pPr>
    </w:p>
    <w:p w14:paraId="3A40269A">
      <w:pPr>
        <w:snapToGrid w:val="0"/>
        <w:spacing w:line="360" w:lineRule="auto"/>
        <w:jc w:val="center"/>
        <w:rPr>
          <w:rFonts w:ascii="宋体" w:hAnsi="宋体"/>
          <w:sz w:val="44"/>
          <w:szCs w:val="44"/>
        </w:rPr>
      </w:pPr>
    </w:p>
    <w:p w14:paraId="4A15B1AB">
      <w:pPr>
        <w:snapToGrid w:val="0"/>
        <w:spacing w:line="360" w:lineRule="auto"/>
        <w:jc w:val="center"/>
        <w:rPr>
          <w:sz w:val="32"/>
        </w:rPr>
      </w:pPr>
    </w:p>
    <w:p w14:paraId="3D4DD127">
      <w:pPr>
        <w:snapToGrid w:val="0"/>
        <w:spacing w:line="360" w:lineRule="auto"/>
        <w:jc w:val="center"/>
        <w:rPr>
          <w:sz w:val="32"/>
        </w:rPr>
      </w:pPr>
    </w:p>
    <w:p w14:paraId="6D5D8B73">
      <w:pPr>
        <w:snapToGrid w:val="0"/>
        <w:spacing w:line="360" w:lineRule="auto"/>
        <w:jc w:val="center"/>
        <w:rPr>
          <w:sz w:val="32"/>
        </w:rPr>
      </w:pPr>
    </w:p>
    <w:p w14:paraId="38BBA327">
      <w:pPr>
        <w:snapToGrid w:val="0"/>
        <w:spacing w:line="360" w:lineRule="auto"/>
        <w:jc w:val="center"/>
        <w:rPr>
          <w:sz w:val="32"/>
        </w:rPr>
      </w:pPr>
    </w:p>
    <w:p w14:paraId="116EEA0F">
      <w:pPr>
        <w:snapToGrid w:val="0"/>
        <w:spacing w:line="360" w:lineRule="auto"/>
        <w:jc w:val="center"/>
        <w:rPr>
          <w:sz w:val="32"/>
        </w:rPr>
      </w:pPr>
    </w:p>
    <w:p w14:paraId="67160196">
      <w:pPr>
        <w:snapToGrid w:val="0"/>
        <w:spacing w:line="360" w:lineRule="auto"/>
        <w:jc w:val="center"/>
        <w:rPr>
          <w:sz w:val="32"/>
        </w:rPr>
      </w:pPr>
    </w:p>
    <w:p w14:paraId="5247C3EA">
      <w:pPr>
        <w:snapToGrid w:val="0"/>
        <w:spacing w:line="360" w:lineRule="auto"/>
        <w:jc w:val="center"/>
        <w:rPr>
          <w:rFonts w:ascii="黑体" w:hAnsi="黑体" w:eastAsia="黑体"/>
          <w:sz w:val="32"/>
        </w:rPr>
      </w:pPr>
      <w:r>
        <w:rPr>
          <w:rFonts w:hint="eastAsia" w:ascii="黑体" w:hAnsi="黑体" w:eastAsia="黑体"/>
          <w:sz w:val="32"/>
        </w:rPr>
        <w:t>《</w:t>
      </w:r>
      <w:bookmarkStart w:id="0" w:name="_Hlk130558813"/>
      <w:r>
        <w:rPr>
          <w:rFonts w:hint="eastAsia" w:ascii="黑体" w:hAnsi="黑体" w:eastAsia="黑体"/>
          <w:sz w:val="32"/>
          <w:szCs w:val="32"/>
        </w:rPr>
        <w:t>工业园区重金属污染场地应急处置技术</w:t>
      </w:r>
      <w:bookmarkEnd w:id="0"/>
      <w:r>
        <w:rPr>
          <w:rFonts w:hint="eastAsia" w:ascii="黑体" w:hAnsi="黑体" w:eastAsia="黑体"/>
          <w:sz w:val="32"/>
          <w:szCs w:val="32"/>
        </w:rPr>
        <w:t>指南</w:t>
      </w:r>
      <w:r>
        <w:rPr>
          <w:rFonts w:hint="eastAsia" w:ascii="黑体" w:hAnsi="黑体" w:eastAsia="黑体"/>
          <w:sz w:val="32"/>
        </w:rPr>
        <w:t>》编制组</w:t>
      </w:r>
    </w:p>
    <w:p w14:paraId="2633BB7B">
      <w:pPr>
        <w:autoSpaceDE w:val="0"/>
        <w:autoSpaceDN w:val="0"/>
        <w:adjustRightInd w:val="0"/>
        <w:snapToGrid w:val="0"/>
        <w:spacing w:line="360" w:lineRule="auto"/>
        <w:jc w:val="center"/>
        <w:rPr>
          <w:rFonts w:ascii="黑体" w:hAnsi="黑体" w:eastAsia="黑体" w:cs="宋体"/>
          <w:kern w:val="0"/>
          <w:sz w:val="28"/>
          <w:szCs w:val="28"/>
        </w:rPr>
      </w:pPr>
      <w:r>
        <w:rPr>
          <w:rFonts w:hint="eastAsia" w:ascii="黑体" w:hAnsi="黑体" w:eastAsia="黑体" w:cs="宋体"/>
          <w:kern w:val="0"/>
          <w:sz w:val="28"/>
          <w:szCs w:val="28"/>
        </w:rPr>
        <w:t>二〇二</w:t>
      </w:r>
      <w:r>
        <w:rPr>
          <w:rFonts w:hint="eastAsia" w:ascii="黑体" w:hAnsi="黑体" w:eastAsia="黑体" w:cs="宋体"/>
          <w:kern w:val="0"/>
          <w:sz w:val="28"/>
          <w:szCs w:val="28"/>
          <w:lang w:val="en-US" w:eastAsia="zh-CN"/>
        </w:rPr>
        <w:t>六</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四</w:t>
      </w:r>
      <w:r>
        <w:rPr>
          <w:rFonts w:hint="eastAsia" w:ascii="黑体" w:hAnsi="黑体" w:eastAsia="黑体" w:cs="宋体"/>
          <w:kern w:val="0"/>
          <w:sz w:val="28"/>
          <w:szCs w:val="28"/>
        </w:rPr>
        <w:t>月</w:t>
      </w:r>
    </w:p>
    <w:p w14:paraId="29AC1E80">
      <w:pPr>
        <w:autoSpaceDE w:val="0"/>
        <w:autoSpaceDN w:val="0"/>
        <w:adjustRightInd w:val="0"/>
        <w:snapToGrid w:val="0"/>
        <w:spacing w:line="360" w:lineRule="auto"/>
        <w:jc w:val="center"/>
        <w:rPr>
          <w:rFonts w:ascii="宋体" w:cs="宋体"/>
          <w:kern w:val="0"/>
          <w:sz w:val="28"/>
          <w:szCs w:val="28"/>
        </w:rPr>
      </w:pPr>
    </w:p>
    <w:p w14:paraId="4B1ACC8C">
      <w:pPr>
        <w:spacing w:before="156" w:beforeLines="50" w:after="156" w:afterLines="50"/>
        <w:jc w:val="center"/>
        <w:rPr>
          <w:rFonts w:ascii="仿宋" w:hAnsi="仿宋" w:eastAsia="仿宋"/>
          <w:b/>
          <w:sz w:val="36"/>
          <w:szCs w:val="36"/>
        </w:rPr>
      </w:pPr>
      <w:r>
        <w:rPr>
          <w:rFonts w:hint="eastAsia" w:ascii="仿宋" w:hAnsi="仿宋" w:eastAsia="仿宋"/>
          <w:b/>
          <w:sz w:val="36"/>
          <w:szCs w:val="36"/>
        </w:rPr>
        <w:t>目  录</w:t>
      </w:r>
    </w:p>
    <w:p w14:paraId="5E25EB9A">
      <w:pPr>
        <w:pStyle w:val="12"/>
        <w:tabs>
          <w:tab w:val="right" w:leader="dot" w:pos="8296"/>
        </w:tabs>
        <w:rPr>
          <w:rFonts w:asciiTheme="minorHAnsi" w:hAnsiTheme="minorHAnsi" w:eastAsiaTheme="minorEastAsia" w:cstheme="minorBidi"/>
          <w:b w:val="0"/>
          <w:bCs w:val="0"/>
          <w:caps w:val="0"/>
          <w:sz w:val="21"/>
          <w:szCs w:val="22"/>
        </w:rPr>
      </w:pPr>
      <w:r>
        <w:rPr>
          <w:b w:val="0"/>
          <w:sz w:val="24"/>
          <w:szCs w:val="24"/>
        </w:rPr>
        <w:fldChar w:fldCharType="begin"/>
      </w:r>
      <w:r>
        <w:rPr>
          <w:b w:val="0"/>
          <w:sz w:val="24"/>
          <w:szCs w:val="24"/>
        </w:rPr>
        <w:instrText xml:space="preserve"> TOC \o "1-3" \h \z \u </w:instrText>
      </w:r>
      <w:r>
        <w:rPr>
          <w:b w:val="0"/>
          <w:sz w:val="24"/>
          <w:szCs w:val="24"/>
        </w:rPr>
        <w:fldChar w:fldCharType="separate"/>
      </w:r>
      <w:r>
        <w:fldChar w:fldCharType="begin"/>
      </w:r>
      <w:r>
        <w:instrText xml:space="preserve"> HYPERLINK \l "_Toc133245283" </w:instrText>
      </w:r>
      <w:r>
        <w:fldChar w:fldCharType="separate"/>
      </w:r>
      <w:r>
        <w:rPr>
          <w:rStyle w:val="17"/>
          <w:lang w:val="zh-CN"/>
        </w:rPr>
        <w:t>1 任务来源</w:t>
      </w:r>
      <w:r>
        <w:tab/>
      </w:r>
      <w:r>
        <w:fldChar w:fldCharType="begin"/>
      </w:r>
      <w:r>
        <w:instrText xml:space="preserve"> PAGEREF _Toc133245283 \h </w:instrText>
      </w:r>
      <w:r>
        <w:fldChar w:fldCharType="separate"/>
      </w:r>
      <w:r>
        <w:t>1</w:t>
      </w:r>
      <w:r>
        <w:fldChar w:fldCharType="end"/>
      </w:r>
      <w:r>
        <w:fldChar w:fldCharType="end"/>
      </w:r>
    </w:p>
    <w:p w14:paraId="6FCC5D7E">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"_Toc133245284" </w:instrText>
      </w:r>
      <w:r>
        <w:fldChar w:fldCharType="separate"/>
      </w:r>
      <w:r>
        <w:rPr>
          <w:rStyle w:val="17"/>
          <w:lang w:val="zh-CN"/>
        </w:rPr>
        <w:t>2 标准制定必要性</w:t>
      </w:r>
      <w:r>
        <w:tab/>
      </w:r>
      <w:r>
        <w:fldChar w:fldCharType="begin"/>
      </w:r>
      <w:r>
        <w:instrText xml:space="preserve"> PAGEREF _Toc133245284 \h </w:instrText>
      </w:r>
      <w:r>
        <w:fldChar w:fldCharType="separate"/>
      </w:r>
      <w:r>
        <w:t>1</w:t>
      </w:r>
      <w:r>
        <w:fldChar w:fldCharType="end"/>
      </w:r>
      <w:r>
        <w:fldChar w:fldCharType="end"/>
      </w:r>
    </w:p>
    <w:p w14:paraId="0E2B8FDB">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"_Toc133245285" </w:instrText>
      </w:r>
      <w:r>
        <w:fldChar w:fldCharType="separate"/>
      </w:r>
      <w:r>
        <w:rPr>
          <w:rStyle w:val="17"/>
          <w:lang w:val="zh-CN"/>
        </w:rPr>
        <w:t>3 主要工作过程</w:t>
      </w:r>
      <w:r>
        <w:tab/>
      </w:r>
      <w:r>
        <w:fldChar w:fldCharType="begin"/>
      </w:r>
      <w:r>
        <w:instrText xml:space="preserve"> PAGEREF _Toc133245285 \h </w:instrText>
      </w:r>
      <w:r>
        <w:fldChar w:fldCharType="separate"/>
      </w:r>
      <w:r>
        <w:t>2</w:t>
      </w:r>
      <w:r>
        <w:fldChar w:fldCharType="end"/>
      </w:r>
      <w:r>
        <w:fldChar w:fldCharType="end"/>
      </w:r>
    </w:p>
    <w:p w14:paraId="383A7962">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"_Toc133245286" </w:instrText>
      </w:r>
      <w:r>
        <w:fldChar w:fldCharType="separate"/>
      </w:r>
      <w:r>
        <w:rPr>
          <w:rStyle w:val="17"/>
          <w:lang w:val="zh-CN"/>
        </w:rPr>
        <w:t>4 国内外相关标准概况</w:t>
      </w:r>
      <w:r>
        <w:tab/>
      </w:r>
      <w:r>
        <w:fldChar w:fldCharType="begin"/>
      </w:r>
      <w:r>
        <w:instrText xml:space="preserve"> PAGEREF _Toc133245286 \h </w:instrText>
      </w:r>
      <w:r>
        <w:fldChar w:fldCharType="separate"/>
      </w:r>
      <w:r>
        <w:t>2</w:t>
      </w:r>
      <w:r>
        <w:fldChar w:fldCharType="end"/>
      </w:r>
      <w:r>
        <w:fldChar w:fldCharType="end"/>
      </w:r>
    </w:p>
    <w:p w14:paraId="364F809D">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"_Toc133245287" </w:instrText>
      </w:r>
      <w:r>
        <w:fldChar w:fldCharType="separate"/>
      </w:r>
      <w:r>
        <w:rPr>
          <w:rStyle w:val="17"/>
        </w:rPr>
        <w:t>4.1 国内相关标准情况</w:t>
      </w:r>
      <w:r>
        <w:tab/>
      </w:r>
      <w:r>
        <w:fldChar w:fldCharType="begin"/>
      </w:r>
      <w:r>
        <w:instrText xml:space="preserve"> PAGEREF _Toc133245287 \h </w:instrText>
      </w:r>
      <w:r>
        <w:fldChar w:fldCharType="separate"/>
      </w:r>
      <w:r>
        <w:t>2</w:t>
      </w:r>
      <w:r>
        <w:fldChar w:fldCharType="end"/>
      </w:r>
      <w:r>
        <w:fldChar w:fldCharType="end"/>
      </w:r>
    </w:p>
    <w:p w14:paraId="2305E2F9">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"_Toc133245288" </w:instrText>
      </w:r>
      <w:r>
        <w:fldChar w:fldCharType="separate"/>
      </w:r>
      <w:r>
        <w:rPr>
          <w:rStyle w:val="17"/>
        </w:rPr>
        <w:t>4.2 国外相关标准情况</w:t>
      </w:r>
      <w:r>
        <w:tab/>
      </w:r>
      <w:r>
        <w:fldChar w:fldCharType="begin"/>
      </w:r>
      <w:r>
        <w:instrText xml:space="preserve"> PAGEREF _Toc133245288 \h </w:instrText>
      </w:r>
      <w:r>
        <w:fldChar w:fldCharType="separate"/>
      </w:r>
      <w:r>
        <w:t>4</w:t>
      </w:r>
      <w:r>
        <w:fldChar w:fldCharType="end"/>
      </w:r>
      <w:r>
        <w:fldChar w:fldCharType="end"/>
      </w:r>
    </w:p>
    <w:p w14:paraId="33E13F6D">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"_Toc133245289" </w:instrText>
      </w:r>
      <w:r>
        <w:fldChar w:fldCharType="separate"/>
      </w:r>
      <w:r>
        <w:rPr>
          <w:rStyle w:val="17"/>
        </w:rPr>
        <w:t>4.3 地块主要处置修复技术分析</w:t>
      </w:r>
      <w:r>
        <w:tab/>
      </w:r>
      <w:r>
        <w:fldChar w:fldCharType="begin"/>
      </w:r>
      <w:r>
        <w:instrText xml:space="preserve"> PAGEREF _Toc133245289 \h </w:instrText>
      </w:r>
      <w:r>
        <w:fldChar w:fldCharType="separate"/>
      </w:r>
      <w:r>
        <w:t>5</w:t>
      </w:r>
      <w:r>
        <w:fldChar w:fldCharType="end"/>
      </w:r>
      <w:r>
        <w:fldChar w:fldCharType="end"/>
      </w:r>
    </w:p>
    <w:p w14:paraId="634B11B0">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"_Toc133245290" </w:instrText>
      </w:r>
      <w:r>
        <w:fldChar w:fldCharType="separate"/>
      </w:r>
      <w:r>
        <w:rPr>
          <w:rStyle w:val="17"/>
          <w:lang w:val="zh-CN"/>
        </w:rPr>
        <w:t>5 编制原则</w:t>
      </w:r>
      <w:r>
        <w:tab/>
      </w:r>
      <w:r>
        <w:fldChar w:fldCharType="begin"/>
      </w:r>
      <w:r>
        <w:instrText xml:space="preserve"> PAGEREF _Toc133245290 \h </w:instrText>
      </w:r>
      <w:r>
        <w:fldChar w:fldCharType="separate"/>
      </w:r>
      <w:r>
        <w:t>8</w:t>
      </w:r>
      <w:r>
        <w:fldChar w:fldCharType="end"/>
      </w:r>
      <w:r>
        <w:fldChar w:fldCharType="end"/>
      </w:r>
    </w:p>
    <w:p w14:paraId="51F265A7">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"_Toc133245291" </w:instrText>
      </w:r>
      <w:r>
        <w:fldChar w:fldCharType="separate"/>
      </w:r>
      <w:r>
        <w:rPr>
          <w:rStyle w:val="17"/>
        </w:rPr>
        <w:t>5.1 规范性引用文件</w:t>
      </w:r>
      <w:r>
        <w:tab/>
      </w:r>
      <w:r>
        <w:fldChar w:fldCharType="begin"/>
      </w:r>
      <w:r>
        <w:instrText xml:space="preserve"> PAGEREF _Toc133245291 \h </w:instrText>
      </w:r>
      <w:r>
        <w:fldChar w:fldCharType="separate"/>
      </w:r>
      <w:r>
        <w:t>8</w:t>
      </w:r>
      <w:r>
        <w:fldChar w:fldCharType="end"/>
      </w:r>
      <w:r>
        <w:fldChar w:fldCharType="end"/>
      </w:r>
    </w:p>
    <w:p w14:paraId="5B3293E7">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"_Toc133245292" </w:instrText>
      </w:r>
      <w:r>
        <w:fldChar w:fldCharType="separate"/>
      </w:r>
      <w:r>
        <w:rPr>
          <w:rStyle w:val="17"/>
        </w:rPr>
        <w:t>5.2 总体原则</w:t>
      </w:r>
      <w:r>
        <w:tab/>
      </w:r>
      <w:r>
        <w:fldChar w:fldCharType="begin"/>
      </w:r>
      <w:r>
        <w:instrText xml:space="preserve"> PAGEREF _Toc133245292 \h </w:instrText>
      </w:r>
      <w:r>
        <w:fldChar w:fldCharType="separate"/>
      </w:r>
      <w:r>
        <w:t>8</w:t>
      </w:r>
      <w:r>
        <w:fldChar w:fldCharType="end"/>
      </w:r>
      <w:r>
        <w:fldChar w:fldCharType="end"/>
      </w:r>
    </w:p>
    <w:p w14:paraId="3E60F5C3">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"_Toc133245293" </w:instrText>
      </w:r>
      <w:r>
        <w:fldChar w:fldCharType="separate"/>
      </w:r>
      <w:r>
        <w:rPr>
          <w:rStyle w:val="17"/>
          <w:lang w:val="zh-CN"/>
        </w:rPr>
        <w:t>6 主要技术内容及说明</w:t>
      </w:r>
      <w:r>
        <w:tab/>
      </w:r>
      <w:r>
        <w:fldChar w:fldCharType="begin"/>
      </w:r>
      <w:r>
        <w:instrText xml:space="preserve"> PAGEREF _Toc133245293 \h </w:instrText>
      </w:r>
      <w:r>
        <w:fldChar w:fldCharType="separate"/>
      </w:r>
      <w:r>
        <w:t>9</w:t>
      </w:r>
      <w:r>
        <w:fldChar w:fldCharType="end"/>
      </w:r>
      <w:r>
        <w:fldChar w:fldCharType="end"/>
      </w:r>
    </w:p>
    <w:p w14:paraId="28C10272">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"_Toc133245294" </w:instrText>
      </w:r>
      <w:r>
        <w:fldChar w:fldCharType="separate"/>
      </w:r>
      <w:r>
        <w:rPr>
          <w:rStyle w:val="17"/>
        </w:rPr>
        <w:t>6.1 前期处置</w:t>
      </w:r>
      <w:r>
        <w:tab/>
      </w:r>
      <w:r>
        <w:fldChar w:fldCharType="begin"/>
      </w:r>
      <w:r>
        <w:instrText xml:space="preserve"> PAGEREF _Toc133245294 \h </w:instrText>
      </w:r>
      <w:r>
        <w:fldChar w:fldCharType="separate"/>
      </w:r>
      <w:r>
        <w:t>9</w:t>
      </w:r>
      <w:r>
        <w:fldChar w:fldCharType="end"/>
      </w:r>
      <w:r>
        <w:fldChar w:fldCharType="end"/>
      </w:r>
    </w:p>
    <w:p w14:paraId="0F87A9A2">
      <w:pPr>
        <w:pStyle w:val="7"/>
        <w:tabs>
          <w:tab w:val="right" w:leader="dot" w:pos="8296"/>
        </w:tabs>
        <w:rPr>
          <w:rFonts w:asciiTheme="minorHAnsi" w:hAnsiTheme="minorHAnsi" w:eastAsiaTheme="minorEastAsia" w:cstheme="minorBidi"/>
          <w:szCs w:val="22"/>
        </w:rPr>
      </w:pPr>
      <w:r>
        <w:fldChar w:fldCharType="begin"/>
      </w:r>
      <w:r>
        <w:instrText xml:space="preserve"> HYPERLINK \l "_Toc133245295" </w:instrText>
      </w:r>
      <w:r>
        <w:fldChar w:fldCharType="separate"/>
      </w:r>
      <w:r>
        <w:rPr>
          <w:rStyle w:val="17"/>
        </w:rPr>
        <w:t>6.1.1 响应启动</w:t>
      </w:r>
      <w:r>
        <w:tab/>
      </w:r>
      <w:r>
        <w:fldChar w:fldCharType="begin"/>
      </w:r>
      <w:r>
        <w:instrText xml:space="preserve"> PAGEREF _Toc133245295 \h </w:instrText>
      </w:r>
      <w:r>
        <w:fldChar w:fldCharType="separate"/>
      </w:r>
      <w:r>
        <w:t>9</w:t>
      </w:r>
      <w:r>
        <w:fldChar w:fldCharType="end"/>
      </w:r>
      <w:r>
        <w:fldChar w:fldCharType="end"/>
      </w:r>
    </w:p>
    <w:p w14:paraId="628353A3">
      <w:pPr>
        <w:pStyle w:val="7"/>
        <w:tabs>
          <w:tab w:val="right" w:leader="dot" w:pos="8296"/>
        </w:tabs>
        <w:rPr>
          <w:rFonts w:asciiTheme="minorHAnsi" w:hAnsiTheme="minorHAnsi" w:eastAsiaTheme="minorEastAsia" w:cstheme="minorBidi"/>
          <w:szCs w:val="22"/>
        </w:rPr>
      </w:pPr>
      <w:r>
        <w:fldChar w:fldCharType="begin"/>
      </w:r>
      <w:r>
        <w:instrText xml:space="preserve"> HYPERLINK \l "_Toc133245296" </w:instrText>
      </w:r>
      <w:r>
        <w:fldChar w:fldCharType="separate"/>
      </w:r>
      <w:r>
        <w:rPr>
          <w:rStyle w:val="17"/>
        </w:rPr>
        <w:t>6.1.2 响应措施</w:t>
      </w:r>
      <w:r>
        <w:tab/>
      </w:r>
      <w:r>
        <w:fldChar w:fldCharType="begin"/>
      </w:r>
      <w:r>
        <w:instrText xml:space="preserve"> PAGEREF _Toc133245296 \h </w:instrText>
      </w:r>
      <w:r>
        <w:fldChar w:fldCharType="separate"/>
      </w:r>
      <w:r>
        <w:t>10</w:t>
      </w:r>
      <w:r>
        <w:fldChar w:fldCharType="end"/>
      </w:r>
      <w:r>
        <w:fldChar w:fldCharType="end"/>
      </w:r>
    </w:p>
    <w:p w14:paraId="632C7F5C">
      <w:pPr>
        <w:pStyle w:val="7"/>
        <w:tabs>
          <w:tab w:val="right" w:leader="dot" w:pos="8296"/>
        </w:tabs>
        <w:rPr>
          <w:rFonts w:asciiTheme="minorHAnsi" w:hAnsiTheme="minorHAnsi" w:eastAsiaTheme="minorEastAsia" w:cstheme="minorBidi"/>
          <w:szCs w:val="22"/>
        </w:rPr>
      </w:pPr>
      <w:r>
        <w:fldChar w:fldCharType="begin"/>
      </w:r>
      <w:r>
        <w:instrText xml:space="preserve"> HYPERLINK \l "_Toc133245297" </w:instrText>
      </w:r>
      <w:r>
        <w:fldChar w:fldCharType="separate"/>
      </w:r>
      <w:r>
        <w:rPr>
          <w:rStyle w:val="17"/>
        </w:rPr>
        <w:t>6.1.3 应急监测</w:t>
      </w:r>
      <w:r>
        <w:tab/>
      </w:r>
      <w:r>
        <w:fldChar w:fldCharType="begin"/>
      </w:r>
      <w:r>
        <w:instrText xml:space="preserve"> PAGEREF _Toc133245297 \h </w:instrText>
      </w:r>
      <w:r>
        <w:fldChar w:fldCharType="separate"/>
      </w:r>
      <w:r>
        <w:t>13</w:t>
      </w:r>
      <w:r>
        <w:fldChar w:fldCharType="end"/>
      </w:r>
      <w:r>
        <w:fldChar w:fldCharType="end"/>
      </w:r>
    </w:p>
    <w:p w14:paraId="3D1EE2E2">
      <w:pPr>
        <w:pStyle w:val="7"/>
        <w:tabs>
          <w:tab w:val="right" w:leader="dot" w:pos="8296"/>
        </w:tabs>
        <w:rPr>
          <w:rFonts w:asciiTheme="minorHAnsi" w:hAnsiTheme="minorHAnsi" w:eastAsiaTheme="minorEastAsia" w:cstheme="minorBidi"/>
          <w:szCs w:val="22"/>
        </w:rPr>
      </w:pPr>
      <w:r>
        <w:fldChar w:fldCharType="begin"/>
      </w:r>
      <w:r>
        <w:instrText xml:space="preserve"> HYPERLINK \l "_Toc133245298" </w:instrText>
      </w:r>
      <w:r>
        <w:fldChar w:fldCharType="separate"/>
      </w:r>
      <w:r>
        <w:rPr>
          <w:rStyle w:val="17"/>
        </w:rPr>
        <w:t>6.1.4 信息报告</w:t>
      </w:r>
      <w:r>
        <w:tab/>
      </w:r>
      <w:r>
        <w:fldChar w:fldCharType="begin"/>
      </w:r>
      <w:r>
        <w:instrText xml:space="preserve"> PAGEREF _Toc133245298 \h </w:instrText>
      </w:r>
      <w:r>
        <w:fldChar w:fldCharType="separate"/>
      </w:r>
      <w:r>
        <w:t>13</w:t>
      </w:r>
      <w:r>
        <w:fldChar w:fldCharType="end"/>
      </w:r>
      <w:r>
        <w:fldChar w:fldCharType="end"/>
      </w:r>
    </w:p>
    <w:p w14:paraId="64F2D89B">
      <w:pPr>
        <w:pStyle w:val="7"/>
        <w:tabs>
          <w:tab w:val="right" w:leader="dot" w:pos="8296"/>
        </w:tabs>
        <w:rPr>
          <w:rFonts w:asciiTheme="minorHAnsi" w:hAnsiTheme="minorHAnsi" w:eastAsiaTheme="minorEastAsia" w:cstheme="minorBidi"/>
          <w:szCs w:val="22"/>
        </w:rPr>
      </w:pPr>
      <w:r>
        <w:fldChar w:fldCharType="begin"/>
      </w:r>
      <w:r>
        <w:instrText xml:space="preserve"> HYPERLINK \l "_Toc133245299" </w:instrText>
      </w:r>
      <w:r>
        <w:fldChar w:fldCharType="separate"/>
      </w:r>
      <w:r>
        <w:rPr>
          <w:rStyle w:val="17"/>
        </w:rPr>
        <w:t>6.1.5 响应终止</w:t>
      </w:r>
      <w:r>
        <w:tab/>
      </w:r>
      <w:r>
        <w:fldChar w:fldCharType="begin"/>
      </w:r>
      <w:r>
        <w:instrText xml:space="preserve"> PAGEREF _Toc133245299 \h </w:instrText>
      </w:r>
      <w:r>
        <w:fldChar w:fldCharType="separate"/>
      </w:r>
      <w:r>
        <w:t>14</w:t>
      </w:r>
      <w:r>
        <w:fldChar w:fldCharType="end"/>
      </w:r>
      <w:r>
        <w:fldChar w:fldCharType="end"/>
      </w:r>
    </w:p>
    <w:p w14:paraId="536CB0B6">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"_Toc133245300" </w:instrText>
      </w:r>
      <w:r>
        <w:fldChar w:fldCharType="separate"/>
      </w:r>
      <w:r>
        <w:rPr>
          <w:rStyle w:val="17"/>
        </w:rPr>
        <w:t>6.2 后期处置</w:t>
      </w:r>
      <w:r>
        <w:tab/>
      </w:r>
      <w:r>
        <w:fldChar w:fldCharType="begin"/>
      </w:r>
      <w:r>
        <w:instrText xml:space="preserve"> PAGEREF _Toc133245300 \h </w:instrText>
      </w:r>
      <w:r>
        <w:fldChar w:fldCharType="separate"/>
      </w:r>
      <w:r>
        <w:t>14</w:t>
      </w:r>
      <w:r>
        <w:fldChar w:fldCharType="end"/>
      </w:r>
      <w:r>
        <w:fldChar w:fldCharType="end"/>
      </w:r>
    </w:p>
    <w:p w14:paraId="0BC4205E">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"_Toc133245301" </w:instrText>
      </w:r>
      <w:r>
        <w:fldChar w:fldCharType="separate"/>
      </w:r>
      <w:r>
        <w:rPr>
          <w:rStyle w:val="17"/>
        </w:rPr>
        <w:t>6.2.1 地块概念模型构建</w:t>
      </w:r>
      <w:r>
        <w:tab/>
      </w:r>
      <w:r>
        <w:fldChar w:fldCharType="begin"/>
      </w:r>
      <w:r>
        <w:instrText xml:space="preserve"> PAGEREF _Toc133245301 \h </w:instrText>
      </w:r>
      <w:r>
        <w:fldChar w:fldCharType="separate"/>
      </w:r>
      <w:r>
        <w:t>14</w:t>
      </w:r>
      <w:r>
        <w:fldChar w:fldCharType="end"/>
      </w:r>
      <w:r>
        <w:fldChar w:fldCharType="end"/>
      </w:r>
    </w:p>
    <w:p w14:paraId="7E1A7F5A">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"_Toc133245302" </w:instrText>
      </w:r>
      <w:r>
        <w:fldChar w:fldCharType="separate"/>
      </w:r>
      <w:r>
        <w:rPr>
          <w:rStyle w:val="17"/>
        </w:rPr>
        <w:t>6.2.2 处置模式选择</w:t>
      </w:r>
      <w:r>
        <w:tab/>
      </w:r>
      <w:r>
        <w:fldChar w:fldCharType="begin"/>
      </w:r>
      <w:r>
        <w:instrText xml:space="preserve"> PAGEREF _Toc133245302 \h </w:instrText>
      </w:r>
      <w:r>
        <w:fldChar w:fldCharType="separate"/>
      </w:r>
      <w:r>
        <w:t>15</w:t>
      </w:r>
      <w:r>
        <w:fldChar w:fldCharType="end"/>
      </w:r>
      <w:r>
        <w:fldChar w:fldCharType="end"/>
      </w:r>
    </w:p>
    <w:p w14:paraId="59948B4B">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"_Toc133245303" </w:instrText>
      </w:r>
      <w:r>
        <w:fldChar w:fldCharType="separate"/>
      </w:r>
      <w:r>
        <w:rPr>
          <w:rStyle w:val="17"/>
        </w:rPr>
        <w:t>6.2.3 技术方案制定</w:t>
      </w:r>
      <w:r>
        <w:tab/>
      </w:r>
      <w:r>
        <w:fldChar w:fldCharType="begin"/>
      </w:r>
      <w:r>
        <w:instrText xml:space="preserve"> PAGEREF _Toc133245303 \h </w:instrText>
      </w:r>
      <w:r>
        <w:fldChar w:fldCharType="separate"/>
      </w:r>
      <w:r>
        <w:t>15</w:t>
      </w:r>
      <w:r>
        <w:fldChar w:fldCharType="end"/>
      </w:r>
      <w:r>
        <w:fldChar w:fldCharType="end"/>
      </w:r>
    </w:p>
    <w:p w14:paraId="32B08FCB">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"_Toc133245304" </w:instrText>
      </w:r>
      <w:r>
        <w:fldChar w:fldCharType="separate"/>
      </w:r>
      <w:r>
        <w:rPr>
          <w:rStyle w:val="17"/>
        </w:rPr>
        <w:t>6.2.4 技术筛选与评估</w:t>
      </w:r>
      <w:r>
        <w:tab/>
      </w:r>
      <w:r>
        <w:fldChar w:fldCharType="begin"/>
      </w:r>
      <w:r>
        <w:instrText xml:space="preserve"> PAGEREF _Toc133245304 \h </w:instrText>
      </w:r>
      <w:r>
        <w:fldChar w:fldCharType="separate"/>
      </w:r>
      <w:r>
        <w:t>16</w:t>
      </w:r>
      <w:r>
        <w:fldChar w:fldCharType="end"/>
      </w:r>
      <w:r>
        <w:fldChar w:fldCharType="end"/>
      </w:r>
    </w:p>
    <w:p w14:paraId="3A892687">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"_Toc133245305" </w:instrText>
      </w:r>
      <w:r>
        <w:fldChar w:fldCharType="separate"/>
      </w:r>
      <w:r>
        <w:rPr>
          <w:rStyle w:val="17"/>
        </w:rPr>
        <w:t>6.2.5 后期处置技术方案制定</w:t>
      </w:r>
      <w:r>
        <w:tab/>
      </w:r>
      <w:r>
        <w:fldChar w:fldCharType="begin"/>
      </w:r>
      <w:r>
        <w:instrText xml:space="preserve"> PAGEREF _Toc133245305 \h </w:instrText>
      </w:r>
      <w:r>
        <w:fldChar w:fldCharType="separate"/>
      </w:r>
      <w:r>
        <w:t>16</w:t>
      </w:r>
      <w:r>
        <w:fldChar w:fldCharType="end"/>
      </w:r>
      <w:r>
        <w:fldChar w:fldCharType="end"/>
      </w:r>
    </w:p>
    <w:p w14:paraId="3A97E355">
      <w:pPr>
        <w:pStyle w:val="13"/>
        <w:tabs>
          <w:tab w:val="right" w:leader="dot" w:pos="8296"/>
        </w:tabs>
        <w:rPr>
          <w:rFonts w:asciiTheme="minorHAnsi" w:hAnsiTheme="minorHAnsi" w:eastAsiaTheme="minorEastAsia" w:cstheme="minorBidi"/>
          <w:szCs w:val="22"/>
        </w:rPr>
      </w:pPr>
      <w:r>
        <w:fldChar w:fldCharType="begin"/>
      </w:r>
      <w:r>
        <w:instrText xml:space="preserve"> HYPERLINK \l "_Toc133245306" </w:instrText>
      </w:r>
      <w:r>
        <w:fldChar w:fldCharType="separate"/>
      </w:r>
      <w:r>
        <w:rPr>
          <w:rStyle w:val="17"/>
        </w:rPr>
        <w:t>6.3 事故调查与损失核算</w:t>
      </w:r>
      <w:r>
        <w:tab/>
      </w:r>
      <w:r>
        <w:fldChar w:fldCharType="begin"/>
      </w:r>
      <w:r>
        <w:instrText xml:space="preserve"> PAGEREF _Toc133245306 \h </w:instrText>
      </w:r>
      <w:r>
        <w:fldChar w:fldCharType="separate"/>
      </w:r>
      <w:r>
        <w:t>17</w:t>
      </w:r>
      <w:r>
        <w:fldChar w:fldCharType="end"/>
      </w:r>
      <w:r>
        <w:fldChar w:fldCharType="end"/>
      </w:r>
    </w:p>
    <w:p w14:paraId="6FF908FF">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"_Toc133245307" </w:instrText>
      </w:r>
      <w:r>
        <w:fldChar w:fldCharType="separate"/>
      </w:r>
      <w:r>
        <w:rPr>
          <w:rStyle w:val="17"/>
        </w:rPr>
        <w:t>6.3.1 事故调查</w:t>
      </w:r>
      <w:r>
        <w:tab/>
      </w:r>
      <w:r>
        <w:fldChar w:fldCharType="begin"/>
      </w:r>
      <w:r>
        <w:instrText xml:space="preserve"> PAGEREF _Toc133245307 \h </w:instrText>
      </w:r>
      <w:r>
        <w:fldChar w:fldCharType="separate"/>
      </w:r>
      <w:r>
        <w:t>17</w:t>
      </w:r>
      <w:r>
        <w:fldChar w:fldCharType="end"/>
      </w:r>
      <w:r>
        <w:fldChar w:fldCharType="end"/>
      </w:r>
    </w:p>
    <w:p w14:paraId="3FDB05AA">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"_Toc133245308" </w:instrText>
      </w:r>
      <w:r>
        <w:fldChar w:fldCharType="separate"/>
      </w:r>
      <w:r>
        <w:rPr>
          <w:rStyle w:val="17"/>
        </w:rPr>
        <w:t>6.3.2 突发环境事件直接经济损失核算</w:t>
      </w:r>
      <w:r>
        <w:tab/>
      </w:r>
      <w:r>
        <w:fldChar w:fldCharType="begin"/>
      </w:r>
      <w:r>
        <w:instrText xml:space="preserve"> PAGEREF _Toc133245308 \h </w:instrText>
      </w:r>
      <w:r>
        <w:fldChar w:fldCharType="separate"/>
      </w:r>
      <w:r>
        <w:t>17</w:t>
      </w:r>
      <w:r>
        <w:fldChar w:fldCharType="end"/>
      </w:r>
      <w:r>
        <w:fldChar w:fldCharType="end"/>
      </w:r>
    </w:p>
    <w:p w14:paraId="50751B4E">
      <w:pPr>
        <w:pStyle w:val="7"/>
        <w:tabs>
          <w:tab w:val="right" w:leader="dot" w:pos="8296"/>
        </w:tabs>
        <w:rPr>
          <w:rFonts w:asciiTheme="minorHAnsi" w:hAnsiTheme="minorHAnsi" w:eastAsiaTheme="minorEastAsia" w:cstheme="minorBidi"/>
          <w:szCs w:val="22"/>
        </w:rPr>
      </w:pPr>
      <w:r>
        <w:fldChar w:fldCharType="begin"/>
      </w:r>
      <w:r>
        <w:instrText xml:space="preserve"> HYPERLINK \l "_Toc133245309" </w:instrText>
      </w:r>
      <w:r>
        <w:fldChar w:fldCharType="separate"/>
      </w:r>
      <w:r>
        <w:rPr>
          <w:rStyle w:val="17"/>
        </w:rPr>
        <w:t>6.3.3 处置工作总结与预案完善</w:t>
      </w:r>
      <w:r>
        <w:tab/>
      </w:r>
      <w:r>
        <w:fldChar w:fldCharType="begin"/>
      </w:r>
      <w:r>
        <w:instrText xml:space="preserve"> PAGEREF _Toc133245309 \h </w:instrText>
      </w:r>
      <w:r>
        <w:fldChar w:fldCharType="separate"/>
      </w:r>
      <w:r>
        <w:t>17</w:t>
      </w:r>
      <w:r>
        <w:fldChar w:fldCharType="end"/>
      </w:r>
      <w:r>
        <w:fldChar w:fldCharType="end"/>
      </w:r>
    </w:p>
    <w:p w14:paraId="37A5634B">
      <w:pPr>
        <w:pStyle w:val="12"/>
        <w:tabs>
          <w:tab w:val="right" w:leader="dot" w:pos="8296"/>
        </w:tabs>
        <w:rPr>
          <w:rFonts w:asciiTheme="minorHAnsi" w:hAnsiTheme="minorHAnsi" w:eastAsiaTheme="minorEastAsia" w:cstheme="minorBidi"/>
          <w:b w:val="0"/>
          <w:bCs w:val="0"/>
          <w:caps w:val="0"/>
          <w:sz w:val="21"/>
          <w:szCs w:val="22"/>
        </w:rPr>
      </w:pPr>
      <w:r>
        <w:fldChar w:fldCharType="begin"/>
      </w:r>
      <w:r>
        <w:instrText xml:space="preserve"> HYPERLINK \l "_Toc133245310" </w:instrText>
      </w:r>
      <w:r>
        <w:fldChar w:fldCharType="separate"/>
      </w:r>
      <w:r>
        <w:rPr>
          <w:rStyle w:val="17"/>
          <w:lang w:val="zh-CN"/>
        </w:rPr>
        <w:t>7 预期效果</w:t>
      </w:r>
      <w:r>
        <w:tab/>
      </w:r>
      <w:r>
        <w:fldChar w:fldCharType="begin"/>
      </w:r>
      <w:r>
        <w:instrText xml:space="preserve"> PAGEREF _Toc133245310 \h </w:instrText>
      </w:r>
      <w:r>
        <w:fldChar w:fldCharType="separate"/>
      </w:r>
      <w:r>
        <w:t>17</w:t>
      </w:r>
      <w:r>
        <w:fldChar w:fldCharType="end"/>
      </w:r>
      <w:r>
        <w:fldChar w:fldCharType="end"/>
      </w:r>
    </w:p>
    <w:p w14:paraId="5EDEF38F">
      <w:pPr>
        <w:widowControl/>
        <w:adjustRightInd w:val="0"/>
        <w:snapToGrid w:val="0"/>
        <w:spacing w:line="360" w:lineRule="auto"/>
        <w:jc w:val="left"/>
        <w:rPr>
          <w:rFonts w:ascii="仿宋_GB2312" w:hAnsi="黑体" w:eastAsia="仿宋_GB2312"/>
          <w:sz w:val="32"/>
          <w:lang w:val="zh-CN"/>
        </w:rPr>
        <w:sectPr>
          <w:footerReference r:id="rId3" w:type="default"/>
          <w:pgSz w:w="11906" w:h="16838"/>
          <w:pgMar w:top="1440" w:right="1800" w:bottom="1440" w:left="1800" w:header="851" w:footer="992" w:gutter="0"/>
          <w:pgNumType w:start="1"/>
          <w:cols w:space="425" w:num="1"/>
          <w:docGrid w:type="lines" w:linePitch="312" w:charSpace="0"/>
        </w:sectPr>
      </w:pPr>
      <w:r>
        <w:rPr>
          <w:sz w:val="24"/>
        </w:rPr>
        <w:fldChar w:fldCharType="end"/>
      </w:r>
      <w:r>
        <w:rPr>
          <w:rFonts w:ascii="仿宋_GB2312" w:hAnsi="黑体" w:eastAsia="仿宋_GB2312"/>
          <w:sz w:val="32"/>
          <w:lang w:val="zh-CN"/>
        </w:rPr>
        <w:br w:type="page"/>
      </w:r>
    </w:p>
    <w:p w14:paraId="2A32A172">
      <w:pPr>
        <w:pStyle w:val="2"/>
        <w:adjustRightInd w:val="0"/>
        <w:snapToGrid w:val="0"/>
        <w:spacing w:line="360" w:lineRule="auto"/>
        <w:rPr>
          <w:sz w:val="24"/>
          <w:szCs w:val="24"/>
          <w:lang w:val="zh-CN"/>
        </w:rPr>
      </w:pPr>
      <w:bookmarkStart w:id="1" w:name="_Toc321381672"/>
      <w:bookmarkStart w:id="2" w:name="_Toc133245283"/>
      <w:r>
        <w:rPr>
          <w:sz w:val="24"/>
          <w:szCs w:val="24"/>
          <w:lang w:val="zh-CN"/>
        </w:rPr>
        <w:t>1</w:t>
      </w:r>
      <w:bookmarkEnd w:id="1"/>
      <w:r>
        <w:rPr>
          <w:sz w:val="24"/>
          <w:szCs w:val="24"/>
          <w:lang w:val="zh-CN"/>
        </w:rPr>
        <w:t xml:space="preserve"> 任务来源</w:t>
      </w:r>
      <w:bookmarkEnd w:id="2"/>
    </w:p>
    <w:p w14:paraId="73686CDA">
      <w:pPr>
        <w:adjustRightInd w:val="0"/>
        <w:snapToGrid w:val="0"/>
        <w:spacing w:line="360" w:lineRule="auto"/>
        <w:ind w:firstLine="480" w:firstLineChars="200"/>
        <w:rPr>
          <w:sz w:val="24"/>
        </w:rPr>
      </w:pPr>
      <w:bookmarkStart w:id="3" w:name="_Toc321381673"/>
      <w:bookmarkStart w:id="4" w:name="_Toc321381844"/>
      <w:bookmarkStart w:id="5" w:name="_Toc321381927"/>
      <w:r>
        <w:rPr>
          <w:rFonts w:hint="eastAsia"/>
          <w:sz w:val="24"/>
        </w:rPr>
        <w:t>当前及今后相当长的一段时期内，我国都处于工业化快速发展期，工业集聚区的数量必将持续上升，突发环境污染事故数量有较大可能持续“高位运行”，从而导致突发环境污染事故污染场地和工业集聚区分散点状污染场地数量持续增加。突发环境污染事故污染场地应急修复社会关注度高，具有特别的紧迫性、敏感性和复杂性，须在短期内安全有效地完成实施。工业集聚区污染场地属于在产企业污染场地，为不影响周边企业生产，其修复也需在尽量不影响生产的前提下短期内完成实施。</w:t>
      </w:r>
      <w:r>
        <w:rPr>
          <w:sz w:val="24"/>
        </w:rPr>
        <w:t>本任务来源于</w:t>
      </w:r>
      <w:r>
        <w:rPr>
          <w:rFonts w:hint="eastAsia"/>
          <w:sz w:val="24"/>
        </w:rPr>
        <w:t>国家</w:t>
      </w:r>
      <w:r>
        <w:rPr>
          <w:sz w:val="24"/>
        </w:rPr>
        <w:t>重点研发项目“</w:t>
      </w:r>
      <w:r>
        <w:rPr>
          <w:rFonts w:hint="eastAsia"/>
          <w:sz w:val="24"/>
        </w:rPr>
        <w:t>移动式场地污染快速检测与处置技术及其装备</w:t>
      </w:r>
      <w:r>
        <w:rPr>
          <w:sz w:val="24"/>
        </w:rPr>
        <w:t>”（项目编号：2022YFC3702500），</w:t>
      </w:r>
      <w:r>
        <w:rPr>
          <w:rFonts w:hint="eastAsia"/>
          <w:sz w:val="24"/>
        </w:rPr>
        <w:t>生态环境部环境规划院</w:t>
      </w:r>
      <w:r>
        <w:rPr>
          <w:sz w:val="24"/>
        </w:rPr>
        <w:t>作为课题承担单位负责《</w:t>
      </w:r>
      <w:r>
        <w:rPr>
          <w:rFonts w:hint="eastAsia"/>
          <w:sz w:val="24"/>
        </w:rPr>
        <w:t>突发事故和工业集聚区分散点状污染场地快速处置技术体系和规范</w:t>
      </w:r>
      <w:r>
        <w:rPr>
          <w:sz w:val="24"/>
        </w:rPr>
        <w:t>》（课题编号：2022YFC3702505）研究工作。为了进一步将项目研究成果和工程经验进行转化、推广，结合项目任务和当前</w:t>
      </w:r>
      <w:r>
        <w:rPr>
          <w:rFonts w:hint="eastAsia"/>
          <w:sz w:val="24"/>
        </w:rPr>
        <w:t>工业园区重金属污染场地应急处置技术</w:t>
      </w:r>
      <w:r>
        <w:rPr>
          <w:sz w:val="24"/>
        </w:rPr>
        <w:t>的需求，提出编制本技术</w:t>
      </w:r>
      <w:r>
        <w:rPr>
          <w:rFonts w:hint="eastAsia"/>
          <w:sz w:val="24"/>
        </w:rPr>
        <w:t>指南</w:t>
      </w:r>
      <w:r>
        <w:rPr>
          <w:sz w:val="24"/>
        </w:rPr>
        <w:t>。</w:t>
      </w:r>
    </w:p>
    <w:p w14:paraId="0824CA41">
      <w:pPr>
        <w:adjustRightInd w:val="0"/>
        <w:snapToGrid w:val="0"/>
        <w:spacing w:line="360" w:lineRule="auto"/>
        <w:ind w:firstLine="480" w:firstLineChars="200"/>
        <w:rPr>
          <w:sz w:val="24"/>
        </w:rPr>
      </w:pPr>
      <w:r>
        <w:rPr>
          <w:sz w:val="24"/>
        </w:rPr>
        <w:t>根据中华环保联合会</w:t>
      </w:r>
      <w:r>
        <w:rPr>
          <w:rFonts w:hint="eastAsia"/>
          <w:sz w:val="24"/>
        </w:rPr>
        <w:t>团体标准管理</w:t>
      </w:r>
      <w:r>
        <w:rPr>
          <w:sz w:val="24"/>
        </w:rPr>
        <w:t>要求，由</w:t>
      </w:r>
      <w:r>
        <w:rPr>
          <w:rFonts w:hint="eastAsia"/>
          <w:sz w:val="24"/>
        </w:rPr>
        <w:t>生态环境部环境规划院</w:t>
      </w:r>
      <w:r>
        <w:rPr>
          <w:sz w:val="24"/>
        </w:rPr>
        <w:t>作为项目承担单位，</w:t>
      </w:r>
      <w:r>
        <w:rPr>
          <w:rFonts w:hint="eastAsia"/>
          <w:sz w:val="24"/>
        </w:rPr>
        <w:t>中国科学院南京土壤研究所、江苏省环境科学研究院、</w:t>
      </w:r>
      <w:bookmarkStart w:id="32" w:name="_GoBack"/>
      <w:bookmarkEnd w:id="32"/>
      <w:r>
        <w:rPr>
          <w:rFonts w:hint="eastAsia"/>
          <w:sz w:val="24"/>
        </w:rPr>
        <w:t>北京润鸣环境科技有限公司、徐州徐工环境技术有限公司、福州大学等</w:t>
      </w:r>
      <w:r>
        <w:rPr>
          <w:sz w:val="24"/>
        </w:rPr>
        <w:t>作为项目协作单位，联合承担《</w:t>
      </w:r>
      <w:r>
        <w:rPr>
          <w:rFonts w:hint="eastAsia"/>
          <w:sz w:val="24"/>
        </w:rPr>
        <w:t>工业园区重金属污染场地应急处置技术指南</w:t>
      </w:r>
      <w:r>
        <w:rPr>
          <w:sz w:val="24"/>
        </w:rPr>
        <w:t>》标准项目的编制工作。</w:t>
      </w:r>
    </w:p>
    <w:p w14:paraId="066FD830">
      <w:pPr>
        <w:pStyle w:val="2"/>
        <w:adjustRightInd w:val="0"/>
        <w:snapToGrid w:val="0"/>
        <w:spacing w:line="360" w:lineRule="auto"/>
        <w:rPr>
          <w:sz w:val="24"/>
          <w:szCs w:val="24"/>
          <w:lang w:val="zh-CN"/>
        </w:rPr>
      </w:pPr>
      <w:bookmarkStart w:id="6" w:name="_Toc133245284"/>
      <w:r>
        <w:rPr>
          <w:sz w:val="24"/>
          <w:szCs w:val="24"/>
          <w:lang w:val="zh-CN"/>
        </w:rPr>
        <w:t>2 标准制定必要性</w:t>
      </w:r>
      <w:bookmarkEnd w:id="6"/>
    </w:p>
    <w:p w14:paraId="0BC5623D">
      <w:pPr>
        <w:adjustRightInd w:val="0"/>
        <w:snapToGrid w:val="0"/>
        <w:spacing w:line="360" w:lineRule="auto"/>
        <w:ind w:firstLine="480" w:firstLineChars="200"/>
        <w:rPr>
          <w:sz w:val="24"/>
        </w:rPr>
      </w:pPr>
      <w:r>
        <w:rPr>
          <w:rFonts w:hint="eastAsia"/>
          <w:sz w:val="24"/>
        </w:rPr>
        <w:t>国家及生态环境主管部门的相关要求。近些年来，国家相继发布了污染地块修复相关文件，例如，2014年发布的《污染场地修复技术导则》，2016年发布的《土壤污染防治行动计划》，2017年发布的《污染地块土壤环境管理办法》，2018年颁布《中华人民共和国土壤污染防治法》和发布《污染地块风险管控和土壤修复效果评估技术导则》，2019年发布《污染地块地下水修复和风险管控技术导则》和修订发布《建设用地土壤污染风险管控和修复术语 》、《建设用地土壤污染风险管控和修复监测技术导则》、《建设用地土壤污染风险评估技术导则》、《建设用地土壤修复技术导则 》。《中华人民共和国土壤污染防治法》第四十条规定：“实施风险管控、修复活动中产生的废水、废气和固体废物，应当按照规定进行处理、处置，并达到相关环境保护标准。实施风险管控、修复活动中产生的固体废物以及拆除的设施、设备或者建筑物、构筑物属于危险废物的，应当依照法律法规和相关标准的要求进行处置。修复施工期间，应当设立公告牌，公开相关情况和环境保护措施。”第三十五条规定了土壤污染风险管控和修复，包括土壤污染状况调查和土壤污染。</w:t>
      </w:r>
    </w:p>
    <w:p w14:paraId="2E566580">
      <w:pPr>
        <w:adjustRightInd w:val="0"/>
        <w:snapToGrid w:val="0"/>
        <w:spacing w:line="360" w:lineRule="auto"/>
        <w:ind w:firstLine="480" w:firstLineChars="200"/>
        <w:rPr>
          <w:sz w:val="24"/>
        </w:rPr>
      </w:pPr>
      <w:r>
        <w:rPr>
          <w:rFonts w:hint="eastAsia"/>
          <w:sz w:val="24"/>
        </w:rPr>
        <w:t>目前，国内无针对突发环境污染事故应急处置和工业集聚区分散点状污染场地快速处置技术体系和规范指南。我国正处在工业化快速发展期，突发环境污染事故很可能处于一个高发、频发的时期，随着工业集聚区数量持续上升，突发环境污染事故污染场地和工业集聚区分散点状污染场地数量也会持续增加。与常规污染场地修复相比，突发环境污染事故污染场地应急修复社会关注度高，具有特别的紧迫性、敏感性和复杂性，须在短期内完成实施。工业集聚区分散点状污染场地属于在产企业污染场地，为不影响周边企业生产，其修复也需在尽量不影响生产的前提下短期内完成实施。随着污染地块修复工作的相继开展，以及相关研究的逐步深入，在实际修复工程实施过程中出现了诸多问题，亟待开展相关指南规范编制研究工作。</w:t>
      </w:r>
    </w:p>
    <w:p w14:paraId="4380A0D6">
      <w:pPr>
        <w:pStyle w:val="2"/>
        <w:adjustRightInd w:val="0"/>
        <w:snapToGrid w:val="0"/>
        <w:spacing w:line="360" w:lineRule="auto"/>
        <w:rPr>
          <w:sz w:val="24"/>
          <w:szCs w:val="24"/>
          <w:lang w:val="zh-CN"/>
        </w:rPr>
      </w:pPr>
      <w:bookmarkStart w:id="7" w:name="_Toc133245285"/>
      <w:r>
        <w:rPr>
          <w:sz w:val="24"/>
          <w:szCs w:val="24"/>
          <w:lang w:val="zh-CN"/>
        </w:rPr>
        <w:t>3 主要工作过程</w:t>
      </w:r>
      <w:bookmarkEnd w:id="7"/>
    </w:p>
    <w:p w14:paraId="38A71A91">
      <w:pPr>
        <w:adjustRightInd w:val="0"/>
        <w:snapToGrid w:val="0"/>
        <w:spacing w:line="360" w:lineRule="auto"/>
        <w:ind w:firstLine="480" w:firstLineChars="200"/>
        <w:rPr>
          <w:sz w:val="24"/>
        </w:rPr>
      </w:pPr>
      <w:r>
        <w:rPr>
          <w:rFonts w:hint="eastAsia"/>
          <w:sz w:val="24"/>
        </w:rPr>
        <w:t>本标准由生态环境部环境规划院起草，北京润鸣环境科技有限公司、中国科学院南京土壤研究所、江苏省环境科学研究院、徐州徐工环境技术有限公司、福州大学等单位协助起草。技术归口单位为中华环保联合会。</w:t>
      </w:r>
    </w:p>
    <w:bookmarkEnd w:id="3"/>
    <w:bookmarkEnd w:id="4"/>
    <w:bookmarkEnd w:id="5"/>
    <w:p w14:paraId="58B75FFE">
      <w:pPr>
        <w:adjustRightInd w:val="0"/>
        <w:snapToGrid w:val="0"/>
        <w:spacing w:line="360" w:lineRule="auto"/>
        <w:ind w:firstLine="480" w:firstLineChars="200"/>
        <w:rPr>
          <w:sz w:val="24"/>
        </w:rPr>
      </w:pPr>
      <w:r>
        <w:rPr>
          <w:rFonts w:hint="eastAsia"/>
          <w:sz w:val="24"/>
        </w:rPr>
        <w:t>2023年4月，标准编制组在北京召开了《工业园区重金属污染场地应急处置技术指南》团体标准立项评审会，生态环境部环境规划院等主、参编单位确定了标准主要内容和编写框架。</w:t>
      </w:r>
    </w:p>
    <w:p w14:paraId="0DEA8624">
      <w:pPr>
        <w:pStyle w:val="2"/>
        <w:adjustRightInd w:val="0"/>
        <w:snapToGrid w:val="0"/>
        <w:spacing w:line="360" w:lineRule="auto"/>
        <w:rPr>
          <w:sz w:val="24"/>
          <w:szCs w:val="24"/>
          <w:lang w:val="zh-CN"/>
        </w:rPr>
      </w:pPr>
      <w:bookmarkStart w:id="8" w:name="_Toc133245286"/>
      <w:r>
        <w:rPr>
          <w:sz w:val="24"/>
          <w:szCs w:val="24"/>
          <w:lang w:val="zh-CN"/>
        </w:rPr>
        <w:t>4 国内外相关标准概况</w:t>
      </w:r>
      <w:bookmarkEnd w:id="8"/>
    </w:p>
    <w:p w14:paraId="7928D802">
      <w:pPr>
        <w:pStyle w:val="3"/>
        <w:spacing w:line="360" w:lineRule="auto"/>
        <w:rPr>
          <w:rFonts w:ascii="Times New Roman" w:hAnsi="Times New Roman" w:eastAsia="宋体" w:cs="Times New Roman"/>
          <w:sz w:val="24"/>
          <w:szCs w:val="24"/>
        </w:rPr>
      </w:pPr>
      <w:bookmarkStart w:id="9" w:name="_Toc133245287"/>
      <w:r>
        <w:rPr>
          <w:rFonts w:ascii="Times New Roman" w:hAnsi="Times New Roman" w:eastAsia="宋体" w:cs="Times New Roman"/>
          <w:sz w:val="24"/>
          <w:szCs w:val="24"/>
        </w:rPr>
        <w:t>4.1 国内相关标准情况</w:t>
      </w:r>
      <w:bookmarkEnd w:id="9"/>
    </w:p>
    <w:p w14:paraId="2EF3C920">
      <w:pPr>
        <w:spacing w:line="360" w:lineRule="auto"/>
        <w:ind w:firstLine="480" w:firstLineChars="200"/>
        <w:rPr>
          <w:sz w:val="24"/>
        </w:rPr>
      </w:pPr>
      <w:r>
        <w:rPr>
          <w:rFonts w:hint="eastAsia"/>
          <w:sz w:val="24"/>
        </w:rPr>
        <w:t>自2006年以来，我国已逐渐认识到了土壤污染的严重性，相关政府部门逐渐出台一系列政策措施，加大力度进行土壤污染治理与修复工作，但未形成系统性的指导方案，直到2016年5月，国务院出台《土壤污染防治行动计划》（即“土十条”），开启了“以立法促使监管趋严，带动强制性市场以及专项资金支持土地市场”的局面。2016年12月，为支持“土十条”的有序实施，原环保部等5部门联合印发了《全国土壤污染状况详查总体方案》。为配合国家全国土壤修复政策的实施以及完成国家下达的受污染耕地的安全利用面积、治理与修复面积，全国各省市纷纷积极推进土壤污染防治工作，如2016年10月福建发布的《福建省土壤污染防治行动计划实施方案》，2017年1月山东省发布的《山东省土壤污染防治工作方案》。截至目前，全国几乎所有的省市，均已出台土壤污染防治相关政策及技术、资金支持方案，为我国全面实施土壤修复和防治提供有利的支撑。近年来，北京、上海、重庆、江苏、浙江、湖南、武汉、沈阳等地进行了化工、农药、焦化厂等地块的调查评估和修复工作，污染物主要包括挥发性有机污染物、石油烃、多环芳烃、农药以及重金属等，目前采用的修复技术主要有焚烧、填埋、固化/稳定化等，在某些地块试点的技术还有生物堆、热处理、生物通风、气相抽提、化学氧化、化学还原、地下水空气注射、地下水可渗透反应墙等技术。</w:t>
      </w:r>
    </w:p>
    <w:p w14:paraId="5977A8F7">
      <w:pPr>
        <w:spacing w:line="360" w:lineRule="auto"/>
        <w:ind w:firstLine="480" w:firstLineChars="200"/>
        <w:rPr>
          <w:sz w:val="24"/>
        </w:rPr>
      </w:pPr>
      <w:r>
        <w:rPr>
          <w:rFonts w:hint="eastAsia"/>
          <w:sz w:val="24"/>
        </w:rPr>
        <w:t>目前我国大陆地区的污染地块修复相关标准体系还不够完善。已有的国家级相关污染防治的法律规范主要包括《环境保护法》、《水污染防治法》、《土壤污染防治法》、《土壤环境质量标准》、《土壤环境监测技术规范》、《地下水质量标准》、《地下水环境监测技术规范》和原国家环保部正式实施的《建设用地土壤污染状况调查技术导则》(HJ 25.1-2019)、《建设用地土壤污染风险管控和修复监测技术导则》(HJ 25.2-2019)、《建设用地土壤污染风险评估技术导则》(HJ 25.3-2019)、《建设用地土壤修复技术导则》(HJ 25.4-2019)、《建设用地土壤污染风险管控和修复术语》(HJ 682-2019)、《污染地块风险管控与土壤修复效果评估技术导则》（HJ 25.5-2018）、《污染地块地下水修复和风险管控技术导则》（HJ 25.6-2019）等标准和技术规范。地方标准主要包括北京市的《建设用地土壤污染状况调查与风险评估技术导则》(DB11/T 656-2019)、《污染土壤环境风险评价筛选值》(DB11/T 811-2011)、《污染场地修复验收技术规范》(DB11/T 783-2011)、《重金属污染土壤填埋场建设与运行技术规范》(DB11/T 810-2011)、《污染场地修复后土壤再利用环境评估导则》（DB11/T 1281-2015）、《污染场地挥发性有机物调查与风险评估技术导则》（DB11/T 1278-2015）、《重金属污染土壤填埋场建设与运行技术规范》（DB11/T 810-2011）、《污染场地修复工程环境监理技术导则》（DB11/T 1279-2015）等。</w:t>
      </w:r>
    </w:p>
    <w:p w14:paraId="5E99EB7D">
      <w:pPr>
        <w:spacing w:line="360" w:lineRule="auto"/>
        <w:ind w:firstLine="480" w:firstLineChars="200"/>
        <w:rPr>
          <w:sz w:val="24"/>
        </w:rPr>
      </w:pPr>
      <w:r>
        <w:rPr>
          <w:sz w:val="24"/>
        </w:rPr>
        <w:t>我国关于</w:t>
      </w:r>
      <w:r>
        <w:rPr>
          <w:rFonts w:hint="eastAsia"/>
          <w:sz w:val="24"/>
        </w:rPr>
        <w:t>重金属</w:t>
      </w:r>
      <w:r>
        <w:rPr>
          <w:sz w:val="24"/>
        </w:rPr>
        <w:t>污染场地治理方面的标准较为丰富，但相关标准体系的建立起步较晚。2007年，国家环境保护总局发布了《铬渣污染治理环境保护技术指南》，该标准对铬渣的解读、综合利用、最终处置等技术进行了规范。2017年，生态环境部发布《铬污染地块风险管控技术指南》，该标准适用于铬盐厂关停厂址、铬渣堆放地块的污染风险管控，规定了风险管控属于被动控制方法的属性，提出通过将污染物封存在原地截断污染迁移途径、限制地块开发利用和禁止无关人员活动切断风险暴露途径等方式，达到风险管控的目的。2019年，工业信息化部发布《铬盐污染场地处理办法》，该标准适用于铬盐污染场地建设用地土壤的化学处理方法，规定了铬盐污染场地土壤性质分析、污染场地分布确定、污染场地土壤修复处理方法及环境保护要求。2021年，中国环境保护产业协会发布《铬污染土壤异位修复治理技术指南》，该标准规定了铬污染土壤异位修复的总体要求、异位修复技术要求、二次污染控制及土壤修复效果评估等内容。</w:t>
      </w:r>
    </w:p>
    <w:p w14:paraId="51EBF97E">
      <w:pPr>
        <w:pStyle w:val="3"/>
        <w:spacing w:line="360" w:lineRule="auto"/>
        <w:rPr>
          <w:rFonts w:ascii="Times New Roman" w:hAnsi="Times New Roman" w:eastAsia="宋体" w:cs="Times New Roman"/>
          <w:sz w:val="24"/>
          <w:szCs w:val="24"/>
        </w:rPr>
      </w:pPr>
      <w:bookmarkStart w:id="10" w:name="_Toc133245288"/>
      <w:r>
        <w:rPr>
          <w:rFonts w:ascii="Times New Roman" w:hAnsi="Times New Roman" w:eastAsia="宋体" w:cs="Times New Roman"/>
          <w:sz w:val="24"/>
          <w:szCs w:val="24"/>
        </w:rPr>
        <w:t>4.2 国外相关标准情况</w:t>
      </w:r>
      <w:bookmarkEnd w:id="10"/>
    </w:p>
    <w:p w14:paraId="64CF43DE">
      <w:pPr>
        <w:spacing w:line="360" w:lineRule="auto"/>
        <w:ind w:firstLine="480" w:firstLineChars="200"/>
        <w:rPr>
          <w:sz w:val="24"/>
        </w:rPr>
      </w:pPr>
      <w:r>
        <w:rPr>
          <w:rFonts w:hint="eastAsia"/>
          <w:sz w:val="24"/>
        </w:rPr>
        <w:t>欧盟的工业企业环境风险管理与应对基于欧盟颁布的塞维索指令（Seveso</w:t>
      </w:r>
      <w:r>
        <w:rPr>
          <w:sz w:val="24"/>
        </w:rPr>
        <w:t xml:space="preserve"> </w:t>
      </w:r>
      <w:r>
        <w:rPr>
          <w:rFonts w:hint="eastAsia"/>
          <w:sz w:val="24"/>
        </w:rPr>
        <w:t>Directive）。该指令是为了解决工业发展过程中重大事故灾害对身体健康以及环境的威胁而逐步发展完善的，主要目的，一是防止危险化学品重大事故灾害的发生，二是削弱或限制危险化学品重大事故灾害事故发生后危害，包括保障人身安全和健康，维护环境安全，减少环境危害。1982年，欧盟通过了针对化工企业活动重大事故灾害的82/501/EEC指令——通常称作《Seveso</w:t>
      </w:r>
      <w:r>
        <w:rPr>
          <w:sz w:val="24"/>
        </w:rPr>
        <w:t xml:space="preserve"> </w:t>
      </w:r>
      <w:r>
        <w:rPr>
          <w:rFonts w:hint="eastAsia"/>
          <w:sz w:val="24"/>
        </w:rPr>
        <w:t>I指令》。欧盟对《Seveso</w:t>
      </w:r>
      <w:r>
        <w:rPr>
          <w:sz w:val="24"/>
        </w:rPr>
        <w:t xml:space="preserve"> </w:t>
      </w:r>
      <w:r>
        <w:rPr>
          <w:rFonts w:hint="eastAsia"/>
          <w:sz w:val="24"/>
        </w:rPr>
        <w:t xml:space="preserve">I指令》进行了修订，于1996年通过了《Seveso </w:t>
      </w:r>
      <w:r>
        <w:rPr>
          <w:sz w:val="24"/>
        </w:rPr>
        <w:t>II</w:t>
      </w:r>
      <w:r>
        <w:rPr>
          <w:rFonts w:hint="eastAsia"/>
          <w:sz w:val="24"/>
        </w:rPr>
        <w:t>指令》。Seves</w:t>
      </w:r>
      <w:r>
        <w:rPr>
          <w:sz w:val="24"/>
        </w:rPr>
        <w:t>o II</w:t>
      </w:r>
      <w:r>
        <w:rPr>
          <w:rFonts w:hint="eastAsia"/>
          <w:sz w:val="24"/>
        </w:rPr>
        <w:t xml:space="preserve">指令在新增内容中尤其强调企业安全系统的管理，要求政府相关部门在监督企业建立安全系统的基础上加强对企业安全系统运行的监管，根据企业风险程度的不同制定相应的应急预案；Seveso </w:t>
      </w:r>
      <w:r>
        <w:rPr>
          <w:sz w:val="24"/>
        </w:rPr>
        <w:t>II</w:t>
      </w:r>
      <w:r>
        <w:rPr>
          <w:rFonts w:hint="eastAsia"/>
          <w:sz w:val="24"/>
        </w:rPr>
        <w:t>指令还规范了危险企业的土地利用，在城市规划过程中充分考虑危险企业的风险。欧盟对Seveso指令的内容进行了进一步的调整，在Seves</w:t>
      </w:r>
      <w:r>
        <w:rPr>
          <w:sz w:val="24"/>
        </w:rPr>
        <w:t>o II</w:t>
      </w:r>
      <w:r>
        <w:rPr>
          <w:rFonts w:hint="eastAsia"/>
          <w:sz w:val="24"/>
        </w:rPr>
        <w:t xml:space="preserve">的基础上发展出Seveso </w:t>
      </w:r>
      <w:r>
        <w:rPr>
          <w:sz w:val="24"/>
        </w:rPr>
        <w:t>III</w:t>
      </w:r>
      <w:r>
        <w:rPr>
          <w:rFonts w:hint="eastAsia"/>
          <w:sz w:val="24"/>
        </w:rPr>
        <w:t>。该次修订的目的是为了扩大指令的适用范围，将易燃易爆危险品，以及企业生产活动（如高温、高压等）可能带来的风险纳入管理范畴。</w:t>
      </w:r>
    </w:p>
    <w:p w14:paraId="7E6B8777">
      <w:pPr>
        <w:spacing w:line="360" w:lineRule="auto"/>
        <w:ind w:firstLine="480" w:firstLineChars="200"/>
        <w:rPr>
          <w:sz w:val="24"/>
        </w:rPr>
      </w:pPr>
      <w:r>
        <w:rPr>
          <w:sz w:val="24"/>
        </w:rPr>
        <w:t>国外</w:t>
      </w:r>
      <w:r>
        <w:rPr>
          <w:rFonts w:hint="eastAsia"/>
          <w:sz w:val="24"/>
        </w:rPr>
        <w:t>重金属</w:t>
      </w:r>
      <w:r>
        <w:rPr>
          <w:sz w:val="24"/>
        </w:rPr>
        <w:t>污染相关的标准主要集中在风险管控基准值和限值方面。美国于1986年建立了污染土壤人体健康风险评估技术方法，通过毒理效应和暴露模型等评估污染物的致癌和非致癌健康风险，推算了土壤中三价铬和六价铬的管制值。同时，国外对不同产品中六价铬进行了非常严格的限制，2014年3月欧盟委员会发布的第301/2014 号文件中明确规定了皮革产品中六价铬的限值，如与皮肤直接接触的皮革类产品中六价铬的最高浓度为3 mg/kg。</w:t>
      </w:r>
    </w:p>
    <w:p w14:paraId="7E38EF0A">
      <w:pPr>
        <w:spacing w:line="360" w:lineRule="auto"/>
        <w:ind w:firstLine="480" w:firstLineChars="200"/>
        <w:rPr>
          <w:sz w:val="24"/>
        </w:rPr>
      </w:pPr>
      <w:r>
        <w:rPr>
          <w:sz w:val="24"/>
        </w:rPr>
        <w:t>此外，国外对土壤污染物的修复行为进行了一系列的规范，包括美国的《土壤筛选导则》《场地修复技术筛选矩阵》、英国的《土壤框架指令》《棕地再生综合管理》、荷兰的《土壤修复临时法》《土壤修复通告》、德国的《联邦土壤保护法》《闭合循环管理法》。</w:t>
      </w:r>
    </w:p>
    <w:p w14:paraId="69375AED">
      <w:pPr>
        <w:pStyle w:val="3"/>
        <w:spacing w:line="360" w:lineRule="auto"/>
        <w:rPr>
          <w:rFonts w:ascii="Times New Roman" w:hAnsi="Times New Roman" w:eastAsia="宋体" w:cs="Times New Roman"/>
          <w:sz w:val="24"/>
          <w:szCs w:val="24"/>
        </w:rPr>
      </w:pPr>
      <w:bookmarkStart w:id="11" w:name="_Toc133245289"/>
      <w:r>
        <w:rPr>
          <w:rFonts w:ascii="Times New Roman" w:hAnsi="Times New Roman" w:eastAsia="宋体" w:cs="Times New Roman"/>
          <w:sz w:val="24"/>
          <w:szCs w:val="24"/>
        </w:rPr>
        <w:t xml:space="preserve">4.3 </w:t>
      </w:r>
      <w:r>
        <w:rPr>
          <w:rFonts w:hint="eastAsia" w:ascii="Times New Roman" w:hAnsi="Times New Roman" w:eastAsia="宋体" w:cs="Times New Roman"/>
          <w:sz w:val="24"/>
          <w:szCs w:val="24"/>
        </w:rPr>
        <w:t>地块主要处置修复技术分析</w:t>
      </w:r>
      <w:bookmarkEnd w:id="11"/>
    </w:p>
    <w:p w14:paraId="0BA81F86">
      <w:pPr>
        <w:spacing w:line="360" w:lineRule="auto"/>
        <w:ind w:firstLine="480" w:firstLineChars="200"/>
        <w:rPr>
          <w:sz w:val="24"/>
        </w:rPr>
      </w:pPr>
      <w:r>
        <w:rPr>
          <w:rFonts w:hint="eastAsia"/>
          <w:sz w:val="24"/>
        </w:rPr>
        <w:t>土壤和地下水修复技术的选择是地块污染治理成败的关键因素之一，目前，我国地块污染治理尚处于起步阶段，因此地块修复技术的选择更多依赖于国外先进经验。美国于20世纪80年代之后进行了大量土壤修复工程。美国超级基金计划所实施的土壤修复技术已成为世界各国了解最新土壤修复技术变化的重要窗口。地块修复技术多样，按修复处理工程的位置可将土壤污染修复技术分为原位修复技术和异位修复技术。采用治理修复技术时，可进一步划分为具体的处理类型（原位生物、原位物理、原位化学、异位生物、异位物理、异位化学），各技术类型下又可细分为具体的技术种类，如原位生物通风、原位土壤气相抽提、原位空气注射技术、原位化学氧化、异位生物堆、异位热脱附、异位固化/稳定化等；修复技术虽然能清除污染物，但由于污染地块条件和污染物环境行为的复杂性，导致某些地块条件下实施污染物清除的成本很高，且清除效果不理想。从发达国家的污染地块管理经验来讲，污染地块修复技术除了治理修复技术外，还包括土壤污染风险管控技术。风险管控技术主要包括工程控制技术和制度控制技术。工程控制技术主要是利用工程措施将污染物封存在原地，限制污染物迁移，切断暴露途径，降低污染物的暴露风险，保护受体安全。常见的工程控制技术包括固化/稳定化、帽封、垂直/水平阻控系统等。制度控制是一系列非工程的治理方法，如行政或法律管控等措施，以实现控制人类潜在暴露风险以及保护治理完整性。常见的降低受体风险制度控制技术包括增加室内通风强度、引入清洁空气、减少室内外扬尘、减少人体与粉尘的接触、对裸土进行覆盖、减少人体与土壤/地下水的接触、改变土地或建筑物的使用类型、设立物障、减少污染土壤的摄入等。如图1所示，1982-2011年间，美国进入“国家优先清单（NPL）”的1468个污染地块中，有1077个地块采用了治理修复技术，占73%；风险管控技术等占27%。对比2009-2011年的统计数据（总计288个地块），修复治理的地块数量仅占41%（119个），而风险管控类的地块数量占到了59%（169个），且在修复治理类的地块中也开始联合开展风险管控，如处理配合制度管理占4%（12个），处理配合工程控制和处置占7%（21个）。由此表明，美国的污染地块治理方法中，风险管控所占的应用比例越来越高。污染地块修复技术选择治理修复技术还是风险管控技术需要综合考虑修复目标、修复成本、修复时间、未来土地利用规划以及技术可行性等。</w:t>
      </w:r>
    </w:p>
    <w:p w14:paraId="4BCE20F6">
      <w:pPr>
        <w:spacing w:line="360" w:lineRule="auto"/>
        <w:ind w:firstLine="420" w:firstLineChars="200"/>
        <w:jc w:val="center"/>
        <w:rPr>
          <w:sz w:val="24"/>
        </w:rPr>
      </w:pPr>
      <w:r>
        <w:drawing>
          <wp:inline distT="0" distB="0" distL="0" distR="0">
            <wp:extent cx="3705225" cy="3014345"/>
            <wp:effectExtent l="0" t="0" r="0" b="0"/>
            <wp:docPr id="5" name="图片 2"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图片包含 图表&#10;&#10;描述已自动生成"/>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3808" cy="3037896"/>
                    </a:xfrm>
                    <a:prstGeom prst="rect">
                      <a:avLst/>
                    </a:prstGeom>
                  </pic:spPr>
                </pic:pic>
              </a:graphicData>
            </a:graphic>
          </wp:inline>
        </w:drawing>
      </w:r>
    </w:p>
    <w:p w14:paraId="3DD34992">
      <w:pPr>
        <w:spacing w:line="360" w:lineRule="auto"/>
        <w:ind w:firstLine="480" w:firstLineChars="200"/>
        <w:jc w:val="center"/>
        <w:rPr>
          <w:sz w:val="24"/>
        </w:rPr>
      </w:pPr>
      <w:r>
        <w:rPr>
          <w:rFonts w:hint="eastAsia"/>
          <w:sz w:val="24"/>
        </w:rPr>
        <w:t>图1 美国NPL地块治理措施统计图</w:t>
      </w:r>
    </w:p>
    <w:p w14:paraId="6DBA3576">
      <w:pPr>
        <w:spacing w:line="360" w:lineRule="auto"/>
        <w:ind w:firstLine="480" w:firstLineChars="200"/>
        <w:jc w:val="center"/>
        <w:rPr>
          <w:sz w:val="24"/>
        </w:rPr>
      </w:pPr>
    </w:p>
    <w:p w14:paraId="1BA1DE64">
      <w:pPr>
        <w:widowControl/>
        <w:jc w:val="left"/>
        <w:rPr>
          <w:sz w:val="24"/>
        </w:rPr>
      </w:pPr>
      <w:r>
        <w:rPr>
          <w:sz w:val="24"/>
        </w:rPr>
        <w:br w:type="page"/>
      </w:r>
    </w:p>
    <w:p w14:paraId="2BDD52CF">
      <w:pPr>
        <w:spacing w:line="360" w:lineRule="auto"/>
        <w:ind w:firstLine="482" w:firstLineChars="200"/>
        <w:jc w:val="center"/>
        <w:rPr>
          <w:b/>
          <w:bCs/>
          <w:sz w:val="24"/>
        </w:rPr>
      </w:pPr>
      <w:r>
        <w:rPr>
          <w:rFonts w:hint="eastAsia"/>
          <w:b/>
          <w:bCs/>
          <w:sz w:val="24"/>
        </w:rPr>
        <w:t>表1</w:t>
      </w:r>
      <w:r>
        <w:rPr>
          <w:b/>
          <w:bCs/>
          <w:sz w:val="24"/>
        </w:rPr>
        <w:t xml:space="preserve"> </w:t>
      </w:r>
      <w:r>
        <w:rPr>
          <w:rFonts w:hint="eastAsia"/>
          <w:b/>
          <w:bCs/>
          <w:sz w:val="24"/>
        </w:rPr>
        <w:t>土壤和地下水修复技术筛选矩阵</w:t>
      </w:r>
    </w:p>
    <w:tbl>
      <w:tblPr>
        <w:tblStyle w:val="14"/>
        <w:tblW w:w="957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68"/>
        <w:gridCol w:w="708"/>
        <w:gridCol w:w="709"/>
        <w:gridCol w:w="587"/>
        <w:gridCol w:w="689"/>
        <w:gridCol w:w="567"/>
        <w:gridCol w:w="567"/>
        <w:gridCol w:w="850"/>
        <w:gridCol w:w="851"/>
        <w:gridCol w:w="850"/>
        <w:gridCol w:w="851"/>
        <w:gridCol w:w="673"/>
      </w:tblGrid>
      <w:tr w14:paraId="242BAF97">
        <w:trPr>
          <w:trHeight w:val="830" w:hRule="atLeast"/>
        </w:trPr>
        <w:tc>
          <w:tcPr>
            <w:tcW w:w="1668" w:type="dxa"/>
            <w:vMerge w:val="restart"/>
            <w:shd w:val="clear" w:color="auto" w:fill="auto"/>
            <w:vAlign w:val="center"/>
          </w:tcPr>
          <w:p w14:paraId="64BE96AE">
            <w:pPr>
              <w:jc w:val="center"/>
              <w:rPr>
                <w:b/>
                <w:bCs/>
                <w:color w:val="000000"/>
                <w:kern w:val="0"/>
                <w:sz w:val="18"/>
                <w:szCs w:val="18"/>
              </w:rPr>
            </w:pPr>
            <w:r>
              <w:rPr>
                <w:b/>
                <w:bCs/>
                <w:color w:val="000000"/>
                <w:kern w:val="0"/>
                <w:sz w:val="18"/>
                <w:szCs w:val="18"/>
              </w:rPr>
              <w:t>技术名称</w:t>
            </w:r>
          </w:p>
        </w:tc>
        <w:tc>
          <w:tcPr>
            <w:tcW w:w="708" w:type="dxa"/>
            <w:vMerge w:val="restart"/>
            <w:shd w:val="clear" w:color="auto" w:fill="auto"/>
            <w:vAlign w:val="center"/>
          </w:tcPr>
          <w:p w14:paraId="7EA775FC">
            <w:pPr>
              <w:widowControl/>
              <w:jc w:val="center"/>
              <w:rPr>
                <w:b/>
                <w:bCs/>
                <w:color w:val="000000"/>
                <w:kern w:val="0"/>
                <w:sz w:val="18"/>
                <w:szCs w:val="18"/>
              </w:rPr>
            </w:pPr>
            <w:r>
              <w:rPr>
                <w:b/>
                <w:bCs/>
                <w:color w:val="000000"/>
                <w:kern w:val="0"/>
                <w:sz w:val="18"/>
                <w:szCs w:val="18"/>
              </w:rPr>
              <w:t>技术成熟度</w:t>
            </w:r>
          </w:p>
        </w:tc>
        <w:tc>
          <w:tcPr>
            <w:tcW w:w="709" w:type="dxa"/>
            <w:vMerge w:val="restart"/>
            <w:shd w:val="clear" w:color="auto" w:fill="auto"/>
            <w:vAlign w:val="center"/>
          </w:tcPr>
          <w:p w14:paraId="79665082">
            <w:pPr>
              <w:widowControl/>
              <w:jc w:val="center"/>
              <w:rPr>
                <w:b/>
                <w:bCs/>
                <w:color w:val="000000"/>
                <w:kern w:val="0"/>
                <w:sz w:val="18"/>
                <w:szCs w:val="18"/>
              </w:rPr>
            </w:pPr>
            <w:r>
              <w:rPr>
                <w:b/>
                <w:bCs/>
                <w:color w:val="000000"/>
                <w:kern w:val="0"/>
                <w:sz w:val="18"/>
                <w:szCs w:val="18"/>
              </w:rPr>
              <w:t>运行维护投入</w:t>
            </w:r>
          </w:p>
        </w:tc>
        <w:tc>
          <w:tcPr>
            <w:tcW w:w="587" w:type="dxa"/>
            <w:vMerge w:val="restart"/>
            <w:shd w:val="clear" w:color="auto" w:fill="auto"/>
            <w:vAlign w:val="center"/>
          </w:tcPr>
          <w:p w14:paraId="652B971E">
            <w:pPr>
              <w:widowControl/>
              <w:jc w:val="center"/>
              <w:rPr>
                <w:b/>
                <w:bCs/>
                <w:color w:val="000000"/>
                <w:kern w:val="0"/>
                <w:sz w:val="18"/>
                <w:szCs w:val="18"/>
              </w:rPr>
            </w:pPr>
            <w:r>
              <w:rPr>
                <w:b/>
                <w:bCs/>
                <w:color w:val="000000"/>
                <w:kern w:val="0"/>
                <w:sz w:val="18"/>
                <w:szCs w:val="18"/>
              </w:rPr>
              <w:t>资金</w:t>
            </w:r>
          </w:p>
          <w:p w14:paraId="54513888">
            <w:pPr>
              <w:widowControl/>
              <w:jc w:val="center"/>
              <w:rPr>
                <w:b/>
                <w:bCs/>
                <w:color w:val="000000"/>
                <w:kern w:val="0"/>
                <w:sz w:val="18"/>
                <w:szCs w:val="18"/>
              </w:rPr>
            </w:pPr>
            <w:r>
              <w:rPr>
                <w:b/>
                <w:bCs/>
                <w:color w:val="000000"/>
                <w:kern w:val="0"/>
                <w:sz w:val="18"/>
                <w:szCs w:val="18"/>
              </w:rPr>
              <w:t>投入</w:t>
            </w:r>
          </w:p>
        </w:tc>
        <w:tc>
          <w:tcPr>
            <w:tcW w:w="689" w:type="dxa"/>
            <w:vMerge w:val="restart"/>
            <w:shd w:val="clear" w:color="auto" w:fill="auto"/>
            <w:vAlign w:val="center"/>
          </w:tcPr>
          <w:p w14:paraId="4AF2A30E">
            <w:pPr>
              <w:widowControl/>
              <w:jc w:val="center"/>
              <w:rPr>
                <w:b/>
                <w:bCs/>
                <w:color w:val="000000"/>
                <w:kern w:val="0"/>
                <w:sz w:val="18"/>
                <w:szCs w:val="18"/>
              </w:rPr>
            </w:pPr>
            <w:r>
              <w:rPr>
                <w:b/>
                <w:bCs/>
                <w:color w:val="000000"/>
                <w:kern w:val="0"/>
                <w:sz w:val="18"/>
                <w:szCs w:val="18"/>
              </w:rPr>
              <w:t>系统的可靠性和维护需求</w:t>
            </w:r>
          </w:p>
        </w:tc>
        <w:tc>
          <w:tcPr>
            <w:tcW w:w="567" w:type="dxa"/>
            <w:vMerge w:val="restart"/>
            <w:shd w:val="clear" w:color="auto" w:fill="auto"/>
            <w:vAlign w:val="center"/>
          </w:tcPr>
          <w:p w14:paraId="59662E45">
            <w:pPr>
              <w:widowControl/>
              <w:jc w:val="center"/>
              <w:rPr>
                <w:b/>
                <w:bCs/>
                <w:color w:val="000000"/>
                <w:kern w:val="0"/>
                <w:sz w:val="18"/>
                <w:szCs w:val="18"/>
              </w:rPr>
            </w:pPr>
            <w:r>
              <w:rPr>
                <w:b/>
                <w:bCs/>
                <w:color w:val="000000"/>
                <w:kern w:val="0"/>
                <w:sz w:val="18"/>
                <w:szCs w:val="18"/>
              </w:rPr>
              <w:t>其他相关成本</w:t>
            </w:r>
          </w:p>
        </w:tc>
        <w:tc>
          <w:tcPr>
            <w:tcW w:w="567" w:type="dxa"/>
            <w:vMerge w:val="restart"/>
            <w:shd w:val="clear" w:color="auto" w:fill="auto"/>
            <w:vAlign w:val="center"/>
          </w:tcPr>
          <w:p w14:paraId="4009F345">
            <w:pPr>
              <w:widowControl/>
              <w:jc w:val="center"/>
              <w:rPr>
                <w:b/>
                <w:bCs/>
                <w:color w:val="000000"/>
                <w:kern w:val="0"/>
                <w:sz w:val="18"/>
                <w:szCs w:val="18"/>
              </w:rPr>
            </w:pPr>
            <w:r>
              <w:rPr>
                <w:b/>
                <w:bCs/>
                <w:color w:val="000000"/>
                <w:kern w:val="0"/>
                <w:sz w:val="18"/>
                <w:szCs w:val="18"/>
              </w:rPr>
              <w:t>修复</w:t>
            </w:r>
          </w:p>
          <w:p w14:paraId="58C66E9D">
            <w:pPr>
              <w:widowControl/>
              <w:jc w:val="center"/>
              <w:rPr>
                <w:b/>
                <w:bCs/>
                <w:color w:val="000000"/>
                <w:kern w:val="0"/>
                <w:sz w:val="18"/>
                <w:szCs w:val="18"/>
              </w:rPr>
            </w:pPr>
            <w:r>
              <w:rPr>
                <w:b/>
                <w:bCs/>
                <w:color w:val="000000"/>
                <w:kern w:val="0"/>
                <w:sz w:val="18"/>
                <w:szCs w:val="18"/>
              </w:rPr>
              <w:t>时间</w:t>
            </w:r>
          </w:p>
        </w:tc>
        <w:tc>
          <w:tcPr>
            <w:tcW w:w="4075" w:type="dxa"/>
            <w:gridSpan w:val="5"/>
            <w:shd w:val="clear" w:color="auto" w:fill="auto"/>
            <w:vAlign w:val="center"/>
          </w:tcPr>
          <w:p w14:paraId="4F8E60FD">
            <w:pPr>
              <w:widowControl/>
              <w:jc w:val="center"/>
              <w:rPr>
                <w:b/>
                <w:bCs/>
                <w:color w:val="000000"/>
                <w:kern w:val="0"/>
                <w:sz w:val="18"/>
                <w:szCs w:val="18"/>
              </w:rPr>
            </w:pPr>
            <w:r>
              <w:rPr>
                <w:b/>
                <w:bCs/>
                <w:color w:val="000000"/>
                <w:kern w:val="0"/>
                <w:sz w:val="18"/>
                <w:szCs w:val="18"/>
              </w:rPr>
              <w:t>目标污染物</w:t>
            </w:r>
          </w:p>
        </w:tc>
      </w:tr>
      <w:tr w14:paraId="5F0B6AAA">
        <w:trPr>
          <w:trHeight w:val="679" w:hRule="atLeast"/>
          <w:tblHeader/>
        </w:trPr>
        <w:tc>
          <w:tcPr>
            <w:tcW w:w="1668" w:type="dxa"/>
            <w:vMerge w:val="continue"/>
            <w:tcBorders>
              <w:bottom w:val="single" w:color="auto" w:sz="8" w:space="0"/>
            </w:tcBorders>
            <w:shd w:val="clear" w:color="auto" w:fill="auto"/>
            <w:vAlign w:val="center"/>
          </w:tcPr>
          <w:p w14:paraId="3AFBF9FD">
            <w:pPr>
              <w:rPr>
                <w:b/>
                <w:bCs/>
                <w:color w:val="000000"/>
                <w:kern w:val="0"/>
                <w:sz w:val="18"/>
                <w:szCs w:val="18"/>
              </w:rPr>
            </w:pPr>
          </w:p>
        </w:tc>
        <w:tc>
          <w:tcPr>
            <w:tcW w:w="708" w:type="dxa"/>
            <w:vMerge w:val="continue"/>
            <w:tcBorders>
              <w:bottom w:val="single" w:color="auto" w:sz="8" w:space="0"/>
            </w:tcBorders>
            <w:shd w:val="clear" w:color="auto" w:fill="auto"/>
            <w:vAlign w:val="center"/>
          </w:tcPr>
          <w:p w14:paraId="6FB23959">
            <w:pPr>
              <w:widowControl/>
              <w:jc w:val="left"/>
              <w:rPr>
                <w:b/>
                <w:bCs/>
                <w:color w:val="000000"/>
                <w:kern w:val="0"/>
                <w:sz w:val="18"/>
                <w:szCs w:val="18"/>
              </w:rPr>
            </w:pPr>
          </w:p>
        </w:tc>
        <w:tc>
          <w:tcPr>
            <w:tcW w:w="709" w:type="dxa"/>
            <w:vMerge w:val="continue"/>
            <w:tcBorders>
              <w:bottom w:val="single" w:color="auto" w:sz="8" w:space="0"/>
            </w:tcBorders>
            <w:shd w:val="clear" w:color="auto" w:fill="auto"/>
            <w:vAlign w:val="center"/>
          </w:tcPr>
          <w:p w14:paraId="234EEE64">
            <w:pPr>
              <w:widowControl/>
              <w:jc w:val="left"/>
              <w:rPr>
                <w:b/>
                <w:bCs/>
                <w:color w:val="000000"/>
                <w:kern w:val="0"/>
                <w:sz w:val="18"/>
                <w:szCs w:val="18"/>
              </w:rPr>
            </w:pPr>
          </w:p>
        </w:tc>
        <w:tc>
          <w:tcPr>
            <w:tcW w:w="587" w:type="dxa"/>
            <w:vMerge w:val="continue"/>
            <w:tcBorders>
              <w:bottom w:val="single" w:color="auto" w:sz="8" w:space="0"/>
            </w:tcBorders>
            <w:shd w:val="clear" w:color="auto" w:fill="auto"/>
            <w:vAlign w:val="center"/>
          </w:tcPr>
          <w:p w14:paraId="261C2AE7">
            <w:pPr>
              <w:widowControl/>
              <w:jc w:val="left"/>
              <w:rPr>
                <w:b/>
                <w:bCs/>
                <w:color w:val="000000"/>
                <w:kern w:val="0"/>
                <w:sz w:val="18"/>
                <w:szCs w:val="18"/>
              </w:rPr>
            </w:pPr>
          </w:p>
        </w:tc>
        <w:tc>
          <w:tcPr>
            <w:tcW w:w="689" w:type="dxa"/>
            <w:vMerge w:val="continue"/>
            <w:tcBorders>
              <w:bottom w:val="single" w:color="auto" w:sz="8" w:space="0"/>
            </w:tcBorders>
            <w:shd w:val="clear" w:color="auto" w:fill="auto"/>
            <w:vAlign w:val="center"/>
          </w:tcPr>
          <w:p w14:paraId="21A698B7">
            <w:pPr>
              <w:widowControl/>
              <w:jc w:val="left"/>
              <w:rPr>
                <w:b/>
                <w:bCs/>
                <w:color w:val="000000"/>
                <w:kern w:val="0"/>
                <w:sz w:val="18"/>
                <w:szCs w:val="18"/>
              </w:rPr>
            </w:pPr>
          </w:p>
        </w:tc>
        <w:tc>
          <w:tcPr>
            <w:tcW w:w="567" w:type="dxa"/>
            <w:vMerge w:val="continue"/>
            <w:tcBorders>
              <w:bottom w:val="single" w:color="auto" w:sz="8" w:space="0"/>
            </w:tcBorders>
            <w:shd w:val="clear" w:color="auto" w:fill="auto"/>
            <w:vAlign w:val="center"/>
          </w:tcPr>
          <w:p w14:paraId="0F3D722F">
            <w:pPr>
              <w:widowControl/>
              <w:jc w:val="left"/>
              <w:rPr>
                <w:b/>
                <w:bCs/>
                <w:color w:val="000000"/>
                <w:kern w:val="0"/>
                <w:sz w:val="18"/>
                <w:szCs w:val="18"/>
              </w:rPr>
            </w:pPr>
          </w:p>
        </w:tc>
        <w:tc>
          <w:tcPr>
            <w:tcW w:w="567" w:type="dxa"/>
            <w:vMerge w:val="continue"/>
            <w:tcBorders>
              <w:bottom w:val="single" w:color="auto" w:sz="8" w:space="0"/>
            </w:tcBorders>
            <w:shd w:val="clear" w:color="auto" w:fill="auto"/>
            <w:vAlign w:val="center"/>
          </w:tcPr>
          <w:p w14:paraId="43523669">
            <w:pPr>
              <w:widowControl/>
              <w:jc w:val="left"/>
              <w:rPr>
                <w:b/>
                <w:bCs/>
                <w:color w:val="000000"/>
                <w:kern w:val="0"/>
                <w:sz w:val="18"/>
                <w:szCs w:val="18"/>
              </w:rPr>
            </w:pPr>
          </w:p>
        </w:tc>
        <w:tc>
          <w:tcPr>
            <w:tcW w:w="850" w:type="dxa"/>
            <w:tcBorders>
              <w:bottom w:val="single" w:color="auto" w:sz="8" w:space="0"/>
            </w:tcBorders>
            <w:shd w:val="clear" w:color="auto" w:fill="auto"/>
            <w:vAlign w:val="center"/>
          </w:tcPr>
          <w:p w14:paraId="43FE42F8">
            <w:pPr>
              <w:widowControl/>
              <w:jc w:val="center"/>
              <w:rPr>
                <w:b/>
                <w:bCs/>
                <w:color w:val="000000"/>
                <w:kern w:val="0"/>
                <w:sz w:val="18"/>
                <w:szCs w:val="18"/>
              </w:rPr>
            </w:pPr>
            <w:r>
              <w:rPr>
                <w:b/>
                <w:bCs/>
                <w:color w:val="000000"/>
                <w:kern w:val="0"/>
                <w:sz w:val="18"/>
                <w:szCs w:val="18"/>
              </w:rPr>
              <w:t>非卤代VOCs</w:t>
            </w:r>
          </w:p>
        </w:tc>
        <w:tc>
          <w:tcPr>
            <w:tcW w:w="851" w:type="dxa"/>
            <w:tcBorders>
              <w:bottom w:val="single" w:color="auto" w:sz="8" w:space="0"/>
            </w:tcBorders>
            <w:shd w:val="clear" w:color="auto" w:fill="auto"/>
            <w:vAlign w:val="center"/>
          </w:tcPr>
          <w:p w14:paraId="0C5C025B">
            <w:pPr>
              <w:widowControl/>
              <w:jc w:val="center"/>
              <w:rPr>
                <w:b/>
                <w:bCs/>
                <w:color w:val="000000"/>
                <w:kern w:val="0"/>
                <w:sz w:val="18"/>
                <w:szCs w:val="18"/>
              </w:rPr>
            </w:pPr>
            <w:r>
              <w:rPr>
                <w:b/>
                <w:bCs/>
                <w:color w:val="000000"/>
                <w:kern w:val="0"/>
                <w:sz w:val="18"/>
                <w:szCs w:val="18"/>
              </w:rPr>
              <w:t>卤代VOCs</w:t>
            </w:r>
          </w:p>
        </w:tc>
        <w:tc>
          <w:tcPr>
            <w:tcW w:w="850" w:type="dxa"/>
            <w:tcBorders>
              <w:bottom w:val="single" w:color="auto" w:sz="8" w:space="0"/>
            </w:tcBorders>
            <w:shd w:val="clear" w:color="auto" w:fill="auto"/>
            <w:vAlign w:val="center"/>
          </w:tcPr>
          <w:p w14:paraId="40D323DE">
            <w:pPr>
              <w:widowControl/>
              <w:ind w:firstLine="4"/>
              <w:jc w:val="center"/>
              <w:rPr>
                <w:b/>
                <w:bCs/>
                <w:color w:val="000000"/>
                <w:kern w:val="0"/>
                <w:sz w:val="18"/>
                <w:szCs w:val="18"/>
              </w:rPr>
            </w:pPr>
            <w:r>
              <w:rPr>
                <w:b/>
                <w:bCs/>
                <w:color w:val="000000"/>
                <w:kern w:val="0"/>
                <w:sz w:val="18"/>
                <w:szCs w:val="18"/>
              </w:rPr>
              <w:t>非卤代SVOCs</w:t>
            </w:r>
          </w:p>
        </w:tc>
        <w:tc>
          <w:tcPr>
            <w:tcW w:w="851" w:type="dxa"/>
            <w:tcBorders>
              <w:bottom w:val="single" w:color="auto" w:sz="8" w:space="0"/>
            </w:tcBorders>
            <w:shd w:val="clear" w:color="auto" w:fill="auto"/>
            <w:vAlign w:val="center"/>
          </w:tcPr>
          <w:p w14:paraId="7F13C812">
            <w:pPr>
              <w:widowControl/>
              <w:ind w:right="-82" w:rightChars="-39" w:hanging="38"/>
              <w:jc w:val="center"/>
              <w:rPr>
                <w:b/>
                <w:bCs/>
                <w:color w:val="000000"/>
                <w:kern w:val="0"/>
                <w:sz w:val="18"/>
                <w:szCs w:val="18"/>
                <w:lang w:val="en-GB"/>
              </w:rPr>
            </w:pPr>
            <w:r>
              <w:rPr>
                <w:b/>
                <w:bCs/>
                <w:color w:val="000000"/>
                <w:kern w:val="0"/>
                <w:sz w:val="18"/>
                <w:szCs w:val="18"/>
              </w:rPr>
              <w:t>卤代SVOCs</w:t>
            </w:r>
          </w:p>
        </w:tc>
        <w:tc>
          <w:tcPr>
            <w:tcW w:w="673" w:type="dxa"/>
            <w:tcBorders>
              <w:bottom w:val="single" w:color="auto" w:sz="8" w:space="0"/>
            </w:tcBorders>
            <w:shd w:val="clear" w:color="auto" w:fill="auto"/>
            <w:vAlign w:val="center"/>
          </w:tcPr>
          <w:p w14:paraId="34EF653B">
            <w:pPr>
              <w:widowControl/>
              <w:ind w:firstLine="21"/>
              <w:jc w:val="center"/>
              <w:rPr>
                <w:b/>
                <w:bCs/>
                <w:color w:val="000000"/>
                <w:kern w:val="0"/>
                <w:sz w:val="18"/>
                <w:szCs w:val="18"/>
              </w:rPr>
            </w:pPr>
            <w:r>
              <w:rPr>
                <w:b/>
                <w:bCs/>
                <w:color w:val="000000"/>
                <w:kern w:val="0"/>
                <w:sz w:val="18"/>
                <w:szCs w:val="18"/>
              </w:rPr>
              <w:t>重金属</w:t>
            </w:r>
          </w:p>
        </w:tc>
      </w:tr>
      <w:tr w14:paraId="4C5AB797">
        <w:trPr>
          <w:trHeight w:val="360" w:hRule="atLeast"/>
          <w:tblHeader/>
        </w:trPr>
        <w:tc>
          <w:tcPr>
            <w:tcW w:w="9570" w:type="dxa"/>
            <w:gridSpan w:val="12"/>
            <w:shd w:val="clear" w:color="auto" w:fill="FFC000"/>
            <w:vAlign w:val="center"/>
          </w:tcPr>
          <w:p w14:paraId="5407DA9E">
            <w:pPr>
              <w:widowControl/>
              <w:rPr>
                <w:b/>
                <w:bCs/>
                <w:color w:val="000000"/>
                <w:kern w:val="0"/>
                <w:sz w:val="18"/>
                <w:szCs w:val="18"/>
              </w:rPr>
            </w:pPr>
            <w:r>
              <w:rPr>
                <w:b/>
                <w:bCs/>
                <w:color w:val="000000"/>
                <w:kern w:val="0"/>
                <w:sz w:val="18"/>
                <w:szCs w:val="18"/>
              </w:rPr>
              <w:t>土壤</w:t>
            </w:r>
          </w:p>
        </w:tc>
      </w:tr>
      <w:tr w14:paraId="2F47ED2D">
        <w:trPr>
          <w:trHeight w:val="319" w:hRule="atLeast"/>
          <w:tblHeader/>
        </w:trPr>
        <w:tc>
          <w:tcPr>
            <w:tcW w:w="9570" w:type="dxa"/>
            <w:gridSpan w:val="12"/>
            <w:shd w:val="clear" w:color="auto" w:fill="auto"/>
            <w:vAlign w:val="center"/>
          </w:tcPr>
          <w:p w14:paraId="4F41EDAD">
            <w:pPr>
              <w:widowControl/>
              <w:jc w:val="center"/>
              <w:rPr>
                <w:color w:val="000000"/>
                <w:kern w:val="0"/>
                <w:sz w:val="18"/>
                <w:szCs w:val="18"/>
              </w:rPr>
            </w:pPr>
            <w:r>
              <w:rPr>
                <w:color w:val="000000"/>
                <w:kern w:val="0"/>
                <w:sz w:val="18"/>
                <w:szCs w:val="18"/>
              </w:rPr>
              <w:t>原位生物处理</w:t>
            </w:r>
          </w:p>
        </w:tc>
      </w:tr>
      <w:tr w14:paraId="7013BFA7">
        <w:trPr>
          <w:trHeight w:val="319" w:hRule="atLeast"/>
          <w:tblHeader/>
        </w:trPr>
        <w:tc>
          <w:tcPr>
            <w:tcW w:w="1668" w:type="dxa"/>
            <w:shd w:val="clear" w:color="auto" w:fill="auto"/>
            <w:vAlign w:val="center"/>
          </w:tcPr>
          <w:p w14:paraId="75629D54">
            <w:pPr>
              <w:widowControl/>
              <w:rPr>
                <w:color w:val="000000"/>
                <w:kern w:val="0"/>
                <w:sz w:val="18"/>
                <w:szCs w:val="18"/>
              </w:rPr>
            </w:pPr>
            <w:r>
              <w:rPr>
                <w:color w:val="000000"/>
                <w:kern w:val="0"/>
                <w:sz w:val="18"/>
                <w:szCs w:val="18"/>
              </w:rPr>
              <w:t>1 生物通风</w:t>
            </w:r>
          </w:p>
        </w:tc>
        <w:tc>
          <w:tcPr>
            <w:tcW w:w="708" w:type="dxa"/>
            <w:shd w:val="clear" w:color="auto" w:fill="auto"/>
            <w:vAlign w:val="center"/>
          </w:tcPr>
          <w:p w14:paraId="633A9261">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590E7E9C">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1C1C0BAD">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7AF8BFFD">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33EA4C70">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3E834485">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4CE8885E">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0FC46720">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7CB4FC74">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4645F96F">
            <w:pPr>
              <w:widowControl/>
              <w:jc w:val="center"/>
              <w:rPr>
                <w:color w:val="000000"/>
                <w:kern w:val="0"/>
                <w:sz w:val="18"/>
                <w:szCs w:val="18"/>
              </w:rPr>
            </w:pPr>
            <w:r>
              <w:rPr>
                <w:color w:val="000000"/>
                <w:kern w:val="0"/>
                <w:sz w:val="18"/>
                <w:szCs w:val="18"/>
              </w:rPr>
              <w:t>○</w:t>
            </w:r>
          </w:p>
        </w:tc>
        <w:tc>
          <w:tcPr>
            <w:tcW w:w="673" w:type="dxa"/>
            <w:shd w:val="clear" w:color="auto" w:fill="auto"/>
            <w:noWrap/>
            <w:vAlign w:val="center"/>
          </w:tcPr>
          <w:p w14:paraId="057EE494">
            <w:pPr>
              <w:widowControl/>
              <w:jc w:val="center"/>
              <w:rPr>
                <w:color w:val="000000"/>
                <w:kern w:val="0"/>
                <w:sz w:val="18"/>
                <w:szCs w:val="18"/>
              </w:rPr>
            </w:pPr>
            <w:r>
              <w:rPr>
                <w:color w:val="000000"/>
                <w:kern w:val="0"/>
                <w:sz w:val="18"/>
                <w:szCs w:val="18"/>
              </w:rPr>
              <w:t>○</w:t>
            </w:r>
          </w:p>
        </w:tc>
      </w:tr>
      <w:tr w14:paraId="5F2E2F6F">
        <w:trPr>
          <w:trHeight w:val="319" w:hRule="atLeast"/>
          <w:tblHeader/>
        </w:trPr>
        <w:tc>
          <w:tcPr>
            <w:tcW w:w="1668" w:type="dxa"/>
            <w:shd w:val="clear" w:color="auto" w:fill="auto"/>
            <w:vAlign w:val="center"/>
          </w:tcPr>
          <w:p w14:paraId="40AC6B38">
            <w:pPr>
              <w:widowControl/>
              <w:rPr>
                <w:color w:val="000000"/>
                <w:kern w:val="0"/>
                <w:sz w:val="18"/>
                <w:szCs w:val="18"/>
              </w:rPr>
            </w:pPr>
            <w:r>
              <w:rPr>
                <w:color w:val="000000"/>
                <w:kern w:val="0"/>
                <w:sz w:val="18"/>
                <w:szCs w:val="18"/>
              </w:rPr>
              <w:t>2 强化生物修复</w:t>
            </w:r>
          </w:p>
        </w:tc>
        <w:tc>
          <w:tcPr>
            <w:tcW w:w="708" w:type="dxa"/>
            <w:shd w:val="clear" w:color="auto" w:fill="auto"/>
            <w:vAlign w:val="center"/>
          </w:tcPr>
          <w:p w14:paraId="319A1F6F">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00B4A1DF">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2CB2927F">
            <w:pPr>
              <w:widowControl/>
              <w:jc w:val="center"/>
              <w:rPr>
                <w:color w:val="000000"/>
                <w:kern w:val="0"/>
                <w:sz w:val="18"/>
                <w:szCs w:val="18"/>
              </w:rPr>
            </w:pPr>
            <w:r>
              <w:rPr>
                <w:rFonts w:hint="eastAsia" w:ascii="宋体" w:hAnsi="宋体" w:cs="宋体"/>
                <w:color w:val="000000"/>
                <w:kern w:val="0"/>
                <w:sz w:val="18"/>
                <w:szCs w:val="18"/>
              </w:rPr>
              <w:t>◎</w:t>
            </w:r>
          </w:p>
        </w:tc>
        <w:tc>
          <w:tcPr>
            <w:tcW w:w="689" w:type="dxa"/>
            <w:shd w:val="clear" w:color="auto" w:fill="auto"/>
            <w:vAlign w:val="center"/>
          </w:tcPr>
          <w:p w14:paraId="59AAEB9A">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0D1D53A5">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391E90E5">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64A9849F">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5651A306">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14E8002A">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235AFCB6">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749DA775">
            <w:pPr>
              <w:widowControl/>
              <w:jc w:val="center"/>
              <w:rPr>
                <w:color w:val="000000"/>
                <w:kern w:val="0"/>
                <w:sz w:val="18"/>
                <w:szCs w:val="18"/>
              </w:rPr>
            </w:pPr>
            <w:r>
              <w:rPr>
                <w:rFonts w:hint="eastAsia" w:ascii="宋体" w:hAnsi="宋体" w:cs="宋体"/>
                <w:color w:val="000000"/>
                <w:kern w:val="0"/>
                <w:sz w:val="18"/>
                <w:szCs w:val="18"/>
              </w:rPr>
              <w:t>◇</w:t>
            </w:r>
          </w:p>
        </w:tc>
      </w:tr>
      <w:tr w14:paraId="70497AA9">
        <w:trPr>
          <w:trHeight w:val="319" w:hRule="atLeast"/>
          <w:tblHeader/>
        </w:trPr>
        <w:tc>
          <w:tcPr>
            <w:tcW w:w="1668" w:type="dxa"/>
            <w:shd w:val="clear" w:color="auto" w:fill="auto"/>
            <w:vAlign w:val="center"/>
          </w:tcPr>
          <w:p w14:paraId="09DE9FF3">
            <w:pPr>
              <w:widowControl/>
              <w:rPr>
                <w:color w:val="000000"/>
                <w:kern w:val="0"/>
                <w:sz w:val="18"/>
                <w:szCs w:val="18"/>
              </w:rPr>
            </w:pPr>
            <w:r>
              <w:rPr>
                <w:color w:val="000000"/>
                <w:kern w:val="0"/>
                <w:sz w:val="18"/>
                <w:szCs w:val="18"/>
              </w:rPr>
              <w:t>3 植物修复</w:t>
            </w:r>
          </w:p>
        </w:tc>
        <w:tc>
          <w:tcPr>
            <w:tcW w:w="708" w:type="dxa"/>
            <w:shd w:val="clear" w:color="auto" w:fill="auto"/>
            <w:vAlign w:val="center"/>
          </w:tcPr>
          <w:p w14:paraId="3CAAF2F6">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05379E5D">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41C304D7">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719D88A4">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438FE1EE">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01DB4619">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541CF05E">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753E2455">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6C04CE15">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0F62E98D">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60A68BAE">
            <w:pPr>
              <w:widowControl/>
              <w:jc w:val="center"/>
              <w:rPr>
                <w:color w:val="000000"/>
                <w:kern w:val="0"/>
                <w:sz w:val="18"/>
                <w:szCs w:val="18"/>
              </w:rPr>
            </w:pPr>
            <w:r>
              <w:rPr>
                <w:rFonts w:hint="eastAsia" w:ascii="宋体" w:hAnsi="宋体" w:cs="宋体"/>
                <w:color w:val="000000"/>
                <w:kern w:val="0"/>
                <w:sz w:val="18"/>
                <w:szCs w:val="18"/>
              </w:rPr>
              <w:t>◎</w:t>
            </w:r>
          </w:p>
        </w:tc>
      </w:tr>
      <w:tr w14:paraId="1295A4D7">
        <w:trPr>
          <w:trHeight w:val="319" w:hRule="atLeast"/>
          <w:tblHeader/>
        </w:trPr>
        <w:tc>
          <w:tcPr>
            <w:tcW w:w="9570" w:type="dxa"/>
            <w:gridSpan w:val="12"/>
            <w:shd w:val="clear" w:color="auto" w:fill="auto"/>
            <w:vAlign w:val="center"/>
          </w:tcPr>
          <w:p w14:paraId="4DF3872D">
            <w:pPr>
              <w:widowControl/>
              <w:jc w:val="center"/>
              <w:rPr>
                <w:color w:val="000000"/>
                <w:kern w:val="0"/>
                <w:sz w:val="18"/>
                <w:szCs w:val="18"/>
              </w:rPr>
            </w:pPr>
            <w:r>
              <w:rPr>
                <w:color w:val="000000"/>
                <w:kern w:val="0"/>
                <w:sz w:val="18"/>
                <w:szCs w:val="18"/>
              </w:rPr>
              <w:t>原位物理/化学处理</w:t>
            </w:r>
          </w:p>
        </w:tc>
      </w:tr>
      <w:tr w14:paraId="1F3B8488">
        <w:trPr>
          <w:trHeight w:val="319" w:hRule="atLeast"/>
          <w:tblHeader/>
        </w:trPr>
        <w:tc>
          <w:tcPr>
            <w:tcW w:w="1668" w:type="dxa"/>
            <w:shd w:val="clear" w:color="auto" w:fill="auto"/>
            <w:vAlign w:val="center"/>
          </w:tcPr>
          <w:p w14:paraId="11E17744">
            <w:pPr>
              <w:widowControl/>
              <w:rPr>
                <w:color w:val="000000"/>
                <w:kern w:val="0"/>
                <w:sz w:val="18"/>
                <w:szCs w:val="18"/>
              </w:rPr>
            </w:pPr>
            <w:r>
              <w:rPr>
                <w:color w:val="000000"/>
                <w:kern w:val="0"/>
                <w:sz w:val="18"/>
                <w:szCs w:val="18"/>
              </w:rPr>
              <w:t>4 化学氧化/还原</w:t>
            </w:r>
          </w:p>
        </w:tc>
        <w:tc>
          <w:tcPr>
            <w:tcW w:w="708" w:type="dxa"/>
            <w:shd w:val="clear" w:color="auto" w:fill="auto"/>
            <w:vAlign w:val="center"/>
          </w:tcPr>
          <w:p w14:paraId="11A93729">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23B5D000">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10F95B02">
            <w:pPr>
              <w:widowControl/>
              <w:jc w:val="center"/>
              <w:rPr>
                <w:color w:val="000000"/>
                <w:kern w:val="0"/>
                <w:sz w:val="18"/>
                <w:szCs w:val="18"/>
              </w:rPr>
            </w:pPr>
            <w:r>
              <w:rPr>
                <w:rFonts w:hint="eastAsia" w:ascii="宋体" w:hAnsi="宋体" w:cs="宋体"/>
                <w:color w:val="000000"/>
                <w:kern w:val="0"/>
                <w:sz w:val="18"/>
                <w:szCs w:val="18"/>
              </w:rPr>
              <w:t>◎</w:t>
            </w:r>
          </w:p>
        </w:tc>
        <w:tc>
          <w:tcPr>
            <w:tcW w:w="689" w:type="dxa"/>
            <w:shd w:val="clear" w:color="auto" w:fill="auto"/>
            <w:vAlign w:val="center"/>
          </w:tcPr>
          <w:p w14:paraId="49250862">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2CBF7B55">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48EB3CA7">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0382A52B">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46071593">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18D36FA9">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026F7646">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091900AC">
            <w:pPr>
              <w:widowControl/>
              <w:jc w:val="center"/>
              <w:rPr>
                <w:color w:val="000000"/>
                <w:kern w:val="0"/>
                <w:sz w:val="18"/>
                <w:szCs w:val="18"/>
              </w:rPr>
            </w:pPr>
            <w:r>
              <w:rPr>
                <w:rFonts w:hint="eastAsia" w:ascii="宋体" w:hAnsi="宋体" w:cs="宋体"/>
                <w:color w:val="000000"/>
                <w:kern w:val="0"/>
                <w:sz w:val="18"/>
                <w:szCs w:val="18"/>
              </w:rPr>
              <w:t>◇</w:t>
            </w:r>
          </w:p>
        </w:tc>
      </w:tr>
      <w:tr w14:paraId="5BD6FC34">
        <w:trPr>
          <w:trHeight w:val="319" w:hRule="atLeast"/>
          <w:tblHeader/>
        </w:trPr>
        <w:tc>
          <w:tcPr>
            <w:tcW w:w="1668" w:type="dxa"/>
            <w:shd w:val="clear" w:color="auto" w:fill="auto"/>
            <w:vAlign w:val="center"/>
          </w:tcPr>
          <w:p w14:paraId="495808CC">
            <w:pPr>
              <w:widowControl/>
              <w:rPr>
                <w:color w:val="000000"/>
                <w:kern w:val="0"/>
                <w:sz w:val="18"/>
                <w:szCs w:val="18"/>
              </w:rPr>
            </w:pPr>
            <w:r>
              <w:rPr>
                <w:color w:val="000000"/>
                <w:kern w:val="0"/>
                <w:sz w:val="18"/>
                <w:szCs w:val="18"/>
              </w:rPr>
              <w:t>5 土壤冲洗</w:t>
            </w:r>
          </w:p>
        </w:tc>
        <w:tc>
          <w:tcPr>
            <w:tcW w:w="708" w:type="dxa"/>
            <w:shd w:val="clear" w:color="auto" w:fill="auto"/>
            <w:vAlign w:val="center"/>
          </w:tcPr>
          <w:p w14:paraId="51565BED">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79118523">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302D7B17">
            <w:pPr>
              <w:widowControl/>
              <w:jc w:val="center"/>
              <w:rPr>
                <w:color w:val="000000"/>
                <w:kern w:val="0"/>
                <w:sz w:val="18"/>
                <w:szCs w:val="18"/>
              </w:rPr>
            </w:pPr>
            <w:r>
              <w:rPr>
                <w:rFonts w:hint="eastAsia" w:ascii="宋体" w:hAnsi="宋体" w:cs="宋体"/>
                <w:color w:val="000000"/>
                <w:kern w:val="0"/>
                <w:sz w:val="18"/>
                <w:szCs w:val="18"/>
              </w:rPr>
              <w:t>◎</w:t>
            </w:r>
          </w:p>
        </w:tc>
        <w:tc>
          <w:tcPr>
            <w:tcW w:w="689" w:type="dxa"/>
            <w:shd w:val="clear" w:color="auto" w:fill="auto"/>
            <w:vAlign w:val="center"/>
          </w:tcPr>
          <w:p w14:paraId="5BD7E012">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03BBEDA8">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5B98F4B6">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15F0CA2E">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5188F4F1">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0E299E2A">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6DA57836">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0001B059">
            <w:pPr>
              <w:widowControl/>
              <w:jc w:val="center"/>
              <w:rPr>
                <w:color w:val="000000"/>
                <w:kern w:val="0"/>
                <w:sz w:val="18"/>
                <w:szCs w:val="18"/>
              </w:rPr>
            </w:pPr>
            <w:r>
              <w:rPr>
                <w:color w:val="000000"/>
                <w:kern w:val="0"/>
                <w:sz w:val="18"/>
                <w:szCs w:val="18"/>
              </w:rPr>
              <w:t>●</w:t>
            </w:r>
          </w:p>
        </w:tc>
      </w:tr>
      <w:tr w14:paraId="686E3B68">
        <w:trPr>
          <w:trHeight w:val="319" w:hRule="atLeast"/>
          <w:tblHeader/>
        </w:trPr>
        <w:tc>
          <w:tcPr>
            <w:tcW w:w="1668" w:type="dxa"/>
            <w:shd w:val="clear" w:color="auto" w:fill="auto"/>
            <w:vAlign w:val="center"/>
          </w:tcPr>
          <w:p w14:paraId="619647BB">
            <w:pPr>
              <w:widowControl/>
              <w:rPr>
                <w:color w:val="000000"/>
                <w:kern w:val="0"/>
                <w:sz w:val="18"/>
                <w:szCs w:val="18"/>
              </w:rPr>
            </w:pPr>
            <w:r>
              <w:rPr>
                <w:color w:val="000000"/>
                <w:kern w:val="0"/>
                <w:sz w:val="18"/>
                <w:szCs w:val="18"/>
              </w:rPr>
              <w:t>6 土壤气相抽提</w:t>
            </w:r>
          </w:p>
        </w:tc>
        <w:tc>
          <w:tcPr>
            <w:tcW w:w="708" w:type="dxa"/>
            <w:shd w:val="clear" w:color="auto" w:fill="auto"/>
            <w:vAlign w:val="center"/>
          </w:tcPr>
          <w:p w14:paraId="5D4ACDC3">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19C4A336">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27B5FB47">
            <w:pPr>
              <w:widowControl/>
              <w:jc w:val="center"/>
              <w:rPr>
                <w:color w:val="000000"/>
                <w:kern w:val="0"/>
                <w:sz w:val="18"/>
                <w:szCs w:val="18"/>
              </w:rPr>
            </w:pPr>
            <w:r>
              <w:rPr>
                <w:rFonts w:hint="eastAsia" w:ascii="宋体" w:hAnsi="宋体" w:cs="宋体"/>
                <w:color w:val="000000"/>
                <w:kern w:val="0"/>
                <w:sz w:val="18"/>
                <w:szCs w:val="18"/>
              </w:rPr>
              <w:t>◎</w:t>
            </w:r>
          </w:p>
        </w:tc>
        <w:tc>
          <w:tcPr>
            <w:tcW w:w="689" w:type="dxa"/>
            <w:shd w:val="clear" w:color="auto" w:fill="auto"/>
            <w:vAlign w:val="center"/>
          </w:tcPr>
          <w:p w14:paraId="0B75902A">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382845AB">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7C05839D">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7A971DB6">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125BBCBE">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64646E9B">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7BF4293D">
            <w:pPr>
              <w:widowControl/>
              <w:jc w:val="center"/>
              <w:rPr>
                <w:color w:val="000000"/>
                <w:kern w:val="0"/>
                <w:sz w:val="18"/>
                <w:szCs w:val="18"/>
              </w:rPr>
            </w:pPr>
            <w:r>
              <w:rPr>
                <w:color w:val="000000"/>
                <w:kern w:val="0"/>
                <w:sz w:val="18"/>
                <w:szCs w:val="18"/>
              </w:rPr>
              <w:t>○</w:t>
            </w:r>
          </w:p>
        </w:tc>
        <w:tc>
          <w:tcPr>
            <w:tcW w:w="673" w:type="dxa"/>
            <w:shd w:val="clear" w:color="auto" w:fill="auto"/>
            <w:noWrap/>
            <w:vAlign w:val="center"/>
          </w:tcPr>
          <w:p w14:paraId="60DF0FCE">
            <w:pPr>
              <w:widowControl/>
              <w:jc w:val="center"/>
              <w:rPr>
                <w:color w:val="000000"/>
                <w:kern w:val="0"/>
                <w:sz w:val="18"/>
                <w:szCs w:val="18"/>
              </w:rPr>
            </w:pPr>
            <w:r>
              <w:rPr>
                <w:color w:val="000000"/>
                <w:kern w:val="0"/>
                <w:sz w:val="18"/>
                <w:szCs w:val="18"/>
              </w:rPr>
              <w:t>○</w:t>
            </w:r>
          </w:p>
        </w:tc>
      </w:tr>
      <w:tr w14:paraId="71E0B8FC">
        <w:trPr>
          <w:trHeight w:val="319" w:hRule="atLeast"/>
          <w:tblHeader/>
        </w:trPr>
        <w:tc>
          <w:tcPr>
            <w:tcW w:w="1668" w:type="dxa"/>
            <w:shd w:val="clear" w:color="auto" w:fill="auto"/>
            <w:vAlign w:val="center"/>
          </w:tcPr>
          <w:p w14:paraId="67EA025C">
            <w:pPr>
              <w:widowControl/>
              <w:rPr>
                <w:color w:val="000000"/>
                <w:kern w:val="0"/>
                <w:sz w:val="18"/>
                <w:szCs w:val="18"/>
              </w:rPr>
            </w:pPr>
            <w:r>
              <w:rPr>
                <w:color w:val="000000"/>
                <w:kern w:val="0"/>
                <w:sz w:val="18"/>
                <w:szCs w:val="18"/>
              </w:rPr>
              <w:t>7 固化/稳定化</w:t>
            </w:r>
          </w:p>
        </w:tc>
        <w:tc>
          <w:tcPr>
            <w:tcW w:w="708" w:type="dxa"/>
            <w:shd w:val="clear" w:color="auto" w:fill="auto"/>
            <w:vAlign w:val="center"/>
          </w:tcPr>
          <w:p w14:paraId="17696DBF">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42A4088F">
            <w:pPr>
              <w:widowControl/>
              <w:jc w:val="center"/>
              <w:rPr>
                <w:color w:val="000000"/>
                <w:kern w:val="0"/>
                <w:sz w:val="18"/>
                <w:szCs w:val="18"/>
              </w:rPr>
            </w:pPr>
            <w:r>
              <w:rPr>
                <w:rFonts w:hint="eastAsia" w:ascii="宋体" w:hAnsi="宋体" w:cs="宋体"/>
                <w:color w:val="000000"/>
                <w:kern w:val="0"/>
                <w:sz w:val="18"/>
                <w:szCs w:val="18"/>
              </w:rPr>
              <w:t>◎</w:t>
            </w:r>
          </w:p>
        </w:tc>
        <w:tc>
          <w:tcPr>
            <w:tcW w:w="587" w:type="dxa"/>
            <w:shd w:val="clear" w:color="auto" w:fill="auto"/>
            <w:vAlign w:val="center"/>
          </w:tcPr>
          <w:p w14:paraId="29E93D6D">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73E65284">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65F87C93">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08CFFF87">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2E8A95A4">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159B85E1">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0A6BBF4A">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62963659">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37AFE493">
            <w:pPr>
              <w:widowControl/>
              <w:jc w:val="center"/>
              <w:rPr>
                <w:color w:val="000000"/>
                <w:kern w:val="0"/>
                <w:sz w:val="18"/>
                <w:szCs w:val="18"/>
              </w:rPr>
            </w:pPr>
            <w:r>
              <w:rPr>
                <w:color w:val="000000"/>
                <w:kern w:val="0"/>
                <w:sz w:val="18"/>
                <w:szCs w:val="18"/>
              </w:rPr>
              <w:t>●</w:t>
            </w:r>
          </w:p>
        </w:tc>
      </w:tr>
      <w:tr w14:paraId="2AF39714">
        <w:trPr>
          <w:trHeight w:val="319" w:hRule="atLeast"/>
          <w:tblHeader/>
        </w:trPr>
        <w:tc>
          <w:tcPr>
            <w:tcW w:w="1668" w:type="dxa"/>
            <w:shd w:val="clear" w:color="auto" w:fill="auto"/>
            <w:vAlign w:val="center"/>
          </w:tcPr>
          <w:p w14:paraId="552596BA">
            <w:pPr>
              <w:widowControl/>
              <w:rPr>
                <w:color w:val="000000"/>
                <w:kern w:val="0"/>
                <w:sz w:val="18"/>
                <w:szCs w:val="18"/>
              </w:rPr>
            </w:pPr>
            <w:r>
              <w:rPr>
                <w:color w:val="000000"/>
                <w:kern w:val="0"/>
                <w:sz w:val="18"/>
                <w:szCs w:val="18"/>
              </w:rPr>
              <w:t>8 热处理（热蒸汽或热脱附）</w:t>
            </w:r>
          </w:p>
        </w:tc>
        <w:tc>
          <w:tcPr>
            <w:tcW w:w="708" w:type="dxa"/>
            <w:shd w:val="clear" w:color="auto" w:fill="auto"/>
            <w:vAlign w:val="center"/>
          </w:tcPr>
          <w:p w14:paraId="1E144F17">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0C2ADFF4">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63DE48C3">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619A58B9">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794AA305">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3F5CF3A6">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6BFBF275">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3B915376">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513BB181">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7A158152">
            <w:pPr>
              <w:widowControl/>
              <w:jc w:val="center"/>
              <w:rPr>
                <w:color w:val="000000"/>
                <w:kern w:val="0"/>
                <w:sz w:val="18"/>
                <w:szCs w:val="18"/>
              </w:rPr>
            </w:pPr>
            <w:r>
              <w:rPr>
                <w:color w:val="000000"/>
                <w:kern w:val="0"/>
                <w:sz w:val="18"/>
                <w:szCs w:val="18"/>
              </w:rPr>
              <w:t>●</w:t>
            </w:r>
          </w:p>
        </w:tc>
        <w:tc>
          <w:tcPr>
            <w:tcW w:w="673" w:type="dxa"/>
            <w:shd w:val="clear" w:color="auto" w:fill="auto"/>
            <w:noWrap/>
            <w:vAlign w:val="center"/>
          </w:tcPr>
          <w:p w14:paraId="260F105D">
            <w:pPr>
              <w:widowControl/>
              <w:jc w:val="center"/>
              <w:rPr>
                <w:color w:val="000000"/>
                <w:kern w:val="0"/>
                <w:sz w:val="18"/>
                <w:szCs w:val="18"/>
              </w:rPr>
            </w:pPr>
            <w:r>
              <w:rPr>
                <w:color w:val="000000"/>
                <w:kern w:val="0"/>
                <w:sz w:val="18"/>
                <w:szCs w:val="18"/>
              </w:rPr>
              <w:t>○</w:t>
            </w:r>
          </w:p>
        </w:tc>
      </w:tr>
      <w:tr w14:paraId="00893B38">
        <w:trPr>
          <w:trHeight w:val="319" w:hRule="atLeast"/>
          <w:tblHeader/>
        </w:trPr>
        <w:tc>
          <w:tcPr>
            <w:tcW w:w="9570" w:type="dxa"/>
            <w:gridSpan w:val="12"/>
            <w:shd w:val="clear" w:color="auto" w:fill="auto"/>
            <w:vAlign w:val="center"/>
          </w:tcPr>
          <w:p w14:paraId="5DF7A531">
            <w:pPr>
              <w:widowControl/>
              <w:jc w:val="center"/>
              <w:rPr>
                <w:color w:val="000000"/>
                <w:kern w:val="0"/>
                <w:sz w:val="18"/>
                <w:szCs w:val="18"/>
              </w:rPr>
            </w:pPr>
            <w:r>
              <w:rPr>
                <w:color w:val="000000"/>
                <w:kern w:val="0"/>
                <w:sz w:val="18"/>
                <w:szCs w:val="18"/>
              </w:rPr>
              <w:t>异位生物处理（假设基坑开挖）</w:t>
            </w:r>
          </w:p>
        </w:tc>
      </w:tr>
      <w:tr w14:paraId="61FD5A7B">
        <w:trPr>
          <w:trHeight w:val="319" w:hRule="atLeast"/>
          <w:tblHeader/>
        </w:trPr>
        <w:tc>
          <w:tcPr>
            <w:tcW w:w="1668" w:type="dxa"/>
            <w:shd w:val="clear" w:color="auto" w:fill="auto"/>
            <w:vAlign w:val="center"/>
          </w:tcPr>
          <w:p w14:paraId="2BB194D5">
            <w:pPr>
              <w:widowControl/>
              <w:rPr>
                <w:color w:val="000000"/>
                <w:kern w:val="0"/>
                <w:sz w:val="18"/>
                <w:szCs w:val="18"/>
              </w:rPr>
            </w:pPr>
            <w:r>
              <w:rPr>
                <w:color w:val="000000"/>
                <w:kern w:val="0"/>
                <w:sz w:val="18"/>
                <w:szCs w:val="18"/>
              </w:rPr>
              <w:t>9 生物堆</w:t>
            </w:r>
          </w:p>
        </w:tc>
        <w:tc>
          <w:tcPr>
            <w:tcW w:w="708" w:type="dxa"/>
            <w:shd w:val="clear" w:color="auto" w:fill="auto"/>
            <w:vAlign w:val="center"/>
          </w:tcPr>
          <w:p w14:paraId="56A77FC7">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72DDD6CF">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4386BFBB">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23763E94">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0A4B7ED9">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0D4DFE76">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0427AE1E">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014F5FB0">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5D168B8C">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44F464EF">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6ED0F96A">
            <w:pPr>
              <w:widowControl/>
              <w:jc w:val="center"/>
              <w:rPr>
                <w:color w:val="000000"/>
                <w:kern w:val="0"/>
                <w:sz w:val="18"/>
                <w:szCs w:val="18"/>
              </w:rPr>
            </w:pPr>
            <w:r>
              <w:rPr>
                <w:rFonts w:hint="eastAsia" w:ascii="宋体" w:hAnsi="宋体" w:cs="宋体"/>
                <w:color w:val="000000"/>
                <w:kern w:val="0"/>
                <w:sz w:val="18"/>
                <w:szCs w:val="18"/>
              </w:rPr>
              <w:t>◇</w:t>
            </w:r>
          </w:p>
        </w:tc>
      </w:tr>
      <w:tr w14:paraId="635B38AB">
        <w:trPr>
          <w:trHeight w:val="319" w:hRule="atLeast"/>
          <w:tblHeader/>
        </w:trPr>
        <w:tc>
          <w:tcPr>
            <w:tcW w:w="1668" w:type="dxa"/>
            <w:shd w:val="clear" w:color="auto" w:fill="auto"/>
            <w:vAlign w:val="center"/>
          </w:tcPr>
          <w:p w14:paraId="4F850E01">
            <w:pPr>
              <w:widowControl/>
              <w:rPr>
                <w:color w:val="000000"/>
                <w:kern w:val="0"/>
                <w:sz w:val="18"/>
                <w:szCs w:val="18"/>
              </w:rPr>
            </w:pPr>
            <w:r>
              <w:rPr>
                <w:color w:val="000000"/>
                <w:kern w:val="0"/>
                <w:sz w:val="18"/>
                <w:szCs w:val="18"/>
              </w:rPr>
              <w:t>10 堆肥法</w:t>
            </w:r>
          </w:p>
        </w:tc>
        <w:tc>
          <w:tcPr>
            <w:tcW w:w="708" w:type="dxa"/>
            <w:shd w:val="clear" w:color="auto" w:fill="auto"/>
            <w:vAlign w:val="center"/>
          </w:tcPr>
          <w:p w14:paraId="3E7716BA">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79AFB9A7">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657244EF">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6BCB7C08">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78623EBB">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6C0D87A3">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5E197438">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118C79DD">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552BCDE1">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0C860C3B">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0D8FDE98">
            <w:pPr>
              <w:widowControl/>
              <w:jc w:val="center"/>
              <w:rPr>
                <w:color w:val="000000"/>
                <w:kern w:val="0"/>
                <w:sz w:val="18"/>
                <w:szCs w:val="18"/>
              </w:rPr>
            </w:pPr>
            <w:r>
              <w:rPr>
                <w:color w:val="000000"/>
                <w:kern w:val="0"/>
                <w:sz w:val="18"/>
                <w:szCs w:val="18"/>
              </w:rPr>
              <w:t>○</w:t>
            </w:r>
          </w:p>
        </w:tc>
      </w:tr>
      <w:tr w14:paraId="3F62F74F">
        <w:trPr>
          <w:trHeight w:val="319" w:hRule="atLeast"/>
          <w:tblHeader/>
        </w:trPr>
        <w:tc>
          <w:tcPr>
            <w:tcW w:w="1668" w:type="dxa"/>
            <w:shd w:val="clear" w:color="auto" w:fill="auto"/>
            <w:vAlign w:val="center"/>
          </w:tcPr>
          <w:p w14:paraId="3D99F4F4">
            <w:pPr>
              <w:widowControl/>
              <w:rPr>
                <w:color w:val="000000"/>
                <w:kern w:val="0"/>
                <w:sz w:val="18"/>
                <w:szCs w:val="18"/>
              </w:rPr>
            </w:pPr>
            <w:r>
              <w:rPr>
                <w:color w:val="000000"/>
                <w:kern w:val="0"/>
                <w:sz w:val="18"/>
                <w:szCs w:val="18"/>
              </w:rPr>
              <w:t>11 泥浆态生物处理</w:t>
            </w:r>
          </w:p>
        </w:tc>
        <w:tc>
          <w:tcPr>
            <w:tcW w:w="708" w:type="dxa"/>
            <w:shd w:val="clear" w:color="auto" w:fill="auto"/>
            <w:vAlign w:val="center"/>
          </w:tcPr>
          <w:p w14:paraId="5656FFA5">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629A2FF6">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502ED419">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2F8B93DB">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18B40B0F">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4E18F166">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2DF1C3AD">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2EEC93B9">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44EBEBCF">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29C2489B">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1D682512">
            <w:pPr>
              <w:widowControl/>
              <w:jc w:val="center"/>
              <w:rPr>
                <w:color w:val="000000"/>
                <w:kern w:val="0"/>
                <w:sz w:val="18"/>
                <w:szCs w:val="18"/>
              </w:rPr>
            </w:pPr>
            <w:r>
              <w:rPr>
                <w:rFonts w:hint="eastAsia" w:ascii="宋体" w:hAnsi="宋体" w:cs="宋体"/>
                <w:color w:val="000000"/>
                <w:kern w:val="0"/>
                <w:sz w:val="18"/>
                <w:szCs w:val="18"/>
              </w:rPr>
              <w:t>◇</w:t>
            </w:r>
          </w:p>
        </w:tc>
      </w:tr>
      <w:tr w14:paraId="3BB599E4">
        <w:trPr>
          <w:trHeight w:val="319" w:hRule="atLeast"/>
          <w:tblHeader/>
        </w:trPr>
        <w:tc>
          <w:tcPr>
            <w:tcW w:w="9570" w:type="dxa"/>
            <w:gridSpan w:val="12"/>
            <w:shd w:val="clear" w:color="auto" w:fill="auto"/>
            <w:vAlign w:val="center"/>
          </w:tcPr>
          <w:p w14:paraId="52B66E62">
            <w:pPr>
              <w:widowControl/>
              <w:jc w:val="center"/>
              <w:rPr>
                <w:color w:val="000000"/>
                <w:kern w:val="0"/>
                <w:sz w:val="18"/>
                <w:szCs w:val="18"/>
              </w:rPr>
            </w:pPr>
            <w:r>
              <w:rPr>
                <w:color w:val="000000"/>
                <w:kern w:val="0"/>
                <w:sz w:val="18"/>
                <w:szCs w:val="18"/>
              </w:rPr>
              <w:t>异位物理/化学处理（假设基坑开挖）</w:t>
            </w:r>
          </w:p>
        </w:tc>
      </w:tr>
      <w:tr w14:paraId="1A3D9775">
        <w:trPr>
          <w:trHeight w:val="319" w:hRule="atLeast"/>
          <w:tblHeader/>
        </w:trPr>
        <w:tc>
          <w:tcPr>
            <w:tcW w:w="1668" w:type="dxa"/>
            <w:shd w:val="clear" w:color="auto" w:fill="auto"/>
            <w:vAlign w:val="center"/>
          </w:tcPr>
          <w:p w14:paraId="40DD9612">
            <w:pPr>
              <w:widowControl/>
              <w:rPr>
                <w:color w:val="000000"/>
                <w:kern w:val="0"/>
                <w:sz w:val="18"/>
                <w:szCs w:val="18"/>
              </w:rPr>
            </w:pPr>
            <w:r>
              <w:rPr>
                <w:color w:val="000000"/>
                <w:kern w:val="0"/>
                <w:sz w:val="18"/>
                <w:szCs w:val="18"/>
              </w:rPr>
              <w:t>12 土壤淋洗</w:t>
            </w:r>
          </w:p>
        </w:tc>
        <w:tc>
          <w:tcPr>
            <w:tcW w:w="708" w:type="dxa"/>
            <w:shd w:val="clear" w:color="auto" w:fill="auto"/>
            <w:vAlign w:val="center"/>
          </w:tcPr>
          <w:p w14:paraId="0FD30D01">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2EA69863">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4830CA35">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12CA2E98">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716A40CD">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1444F289">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34192133">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431B7A8B">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1038F83F">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749842E1">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104AA235">
            <w:pPr>
              <w:widowControl/>
              <w:jc w:val="center"/>
              <w:rPr>
                <w:color w:val="000000"/>
                <w:kern w:val="0"/>
                <w:sz w:val="18"/>
                <w:szCs w:val="18"/>
              </w:rPr>
            </w:pPr>
            <w:r>
              <w:rPr>
                <w:rFonts w:hint="eastAsia" w:ascii="宋体" w:hAnsi="宋体" w:cs="宋体"/>
                <w:color w:val="000000"/>
                <w:kern w:val="0"/>
                <w:sz w:val="18"/>
                <w:szCs w:val="18"/>
              </w:rPr>
              <w:t>◎</w:t>
            </w:r>
          </w:p>
        </w:tc>
      </w:tr>
      <w:tr w14:paraId="5F7AB458">
        <w:trPr>
          <w:trHeight w:val="319" w:hRule="atLeast"/>
          <w:tblHeader/>
        </w:trPr>
        <w:tc>
          <w:tcPr>
            <w:tcW w:w="1668" w:type="dxa"/>
            <w:shd w:val="clear" w:color="auto" w:fill="auto"/>
            <w:vAlign w:val="center"/>
          </w:tcPr>
          <w:p w14:paraId="47E832EE">
            <w:pPr>
              <w:widowControl/>
              <w:rPr>
                <w:color w:val="000000"/>
                <w:kern w:val="0"/>
                <w:sz w:val="18"/>
                <w:szCs w:val="18"/>
              </w:rPr>
            </w:pPr>
            <w:r>
              <w:rPr>
                <w:color w:val="000000"/>
                <w:kern w:val="0"/>
                <w:sz w:val="18"/>
                <w:szCs w:val="18"/>
              </w:rPr>
              <w:t>13 化学氧化/还原</w:t>
            </w:r>
          </w:p>
        </w:tc>
        <w:tc>
          <w:tcPr>
            <w:tcW w:w="708" w:type="dxa"/>
            <w:shd w:val="clear" w:color="auto" w:fill="auto"/>
            <w:vAlign w:val="center"/>
          </w:tcPr>
          <w:p w14:paraId="31F69C9E">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5CE3302A">
            <w:pPr>
              <w:widowControl/>
              <w:jc w:val="center"/>
              <w:rPr>
                <w:color w:val="000000"/>
                <w:kern w:val="0"/>
                <w:sz w:val="18"/>
                <w:szCs w:val="18"/>
              </w:rPr>
            </w:pPr>
            <w:r>
              <w:rPr>
                <w:rFonts w:hint="eastAsia" w:ascii="宋体" w:hAnsi="宋体" w:cs="宋体"/>
                <w:color w:val="000000"/>
                <w:kern w:val="0"/>
                <w:sz w:val="18"/>
                <w:szCs w:val="18"/>
              </w:rPr>
              <w:t>◎</w:t>
            </w:r>
          </w:p>
        </w:tc>
        <w:tc>
          <w:tcPr>
            <w:tcW w:w="587" w:type="dxa"/>
            <w:shd w:val="clear" w:color="auto" w:fill="auto"/>
            <w:vAlign w:val="center"/>
          </w:tcPr>
          <w:p w14:paraId="12BBA223">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4347DB40">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36B30B7B">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0DCC3060">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6D687950">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5C02D2DE">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7360828F">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587DA813">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67A5D21E">
            <w:pPr>
              <w:widowControl/>
              <w:jc w:val="center"/>
              <w:rPr>
                <w:color w:val="000000"/>
                <w:kern w:val="0"/>
                <w:sz w:val="18"/>
                <w:szCs w:val="18"/>
              </w:rPr>
            </w:pPr>
            <w:r>
              <w:rPr>
                <w:color w:val="000000"/>
                <w:kern w:val="0"/>
                <w:sz w:val="18"/>
                <w:szCs w:val="18"/>
              </w:rPr>
              <w:t>●</w:t>
            </w:r>
          </w:p>
        </w:tc>
      </w:tr>
      <w:tr w14:paraId="7DAED157">
        <w:trPr>
          <w:trHeight w:val="319" w:hRule="atLeast"/>
          <w:tblHeader/>
        </w:trPr>
        <w:tc>
          <w:tcPr>
            <w:tcW w:w="1668" w:type="dxa"/>
            <w:shd w:val="clear" w:color="auto" w:fill="auto"/>
            <w:vAlign w:val="center"/>
          </w:tcPr>
          <w:p w14:paraId="01657FF2">
            <w:pPr>
              <w:widowControl/>
              <w:rPr>
                <w:color w:val="000000"/>
                <w:kern w:val="0"/>
                <w:sz w:val="18"/>
                <w:szCs w:val="18"/>
              </w:rPr>
            </w:pPr>
            <w:r>
              <w:rPr>
                <w:color w:val="000000"/>
                <w:kern w:val="0"/>
                <w:sz w:val="18"/>
                <w:szCs w:val="18"/>
              </w:rPr>
              <w:t>14 固化/稳定化</w:t>
            </w:r>
          </w:p>
        </w:tc>
        <w:tc>
          <w:tcPr>
            <w:tcW w:w="708" w:type="dxa"/>
            <w:shd w:val="clear" w:color="auto" w:fill="auto"/>
            <w:vAlign w:val="center"/>
          </w:tcPr>
          <w:p w14:paraId="2DEA1093">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078AB0F2">
            <w:pPr>
              <w:widowControl/>
              <w:jc w:val="center"/>
              <w:rPr>
                <w:color w:val="000000"/>
                <w:kern w:val="0"/>
                <w:sz w:val="18"/>
                <w:szCs w:val="18"/>
              </w:rPr>
            </w:pPr>
            <w:r>
              <w:rPr>
                <w:rFonts w:hint="eastAsia" w:ascii="宋体" w:hAnsi="宋体" w:cs="宋体"/>
                <w:color w:val="000000"/>
                <w:kern w:val="0"/>
                <w:sz w:val="18"/>
                <w:szCs w:val="18"/>
              </w:rPr>
              <w:t>◎</w:t>
            </w:r>
          </w:p>
        </w:tc>
        <w:tc>
          <w:tcPr>
            <w:tcW w:w="587" w:type="dxa"/>
            <w:shd w:val="clear" w:color="auto" w:fill="auto"/>
            <w:vAlign w:val="center"/>
          </w:tcPr>
          <w:p w14:paraId="6EB2F536">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62761123">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667C5F54">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4C61FDC5">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665149C1">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57874D20">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7CA6A08F">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1F6A8949">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55216865">
            <w:pPr>
              <w:widowControl/>
              <w:jc w:val="center"/>
              <w:rPr>
                <w:color w:val="000000"/>
                <w:kern w:val="0"/>
                <w:sz w:val="18"/>
                <w:szCs w:val="18"/>
              </w:rPr>
            </w:pPr>
            <w:r>
              <w:rPr>
                <w:color w:val="000000"/>
                <w:kern w:val="0"/>
                <w:sz w:val="18"/>
                <w:szCs w:val="18"/>
              </w:rPr>
              <w:t>●</w:t>
            </w:r>
          </w:p>
        </w:tc>
      </w:tr>
      <w:tr w14:paraId="7DA5FF08">
        <w:trPr>
          <w:trHeight w:val="319" w:hRule="atLeast"/>
          <w:tblHeader/>
        </w:trPr>
        <w:tc>
          <w:tcPr>
            <w:tcW w:w="9570" w:type="dxa"/>
            <w:gridSpan w:val="12"/>
            <w:shd w:val="clear" w:color="auto" w:fill="auto"/>
            <w:vAlign w:val="center"/>
          </w:tcPr>
          <w:p w14:paraId="36A1F0F7">
            <w:pPr>
              <w:widowControl/>
              <w:jc w:val="center"/>
              <w:rPr>
                <w:color w:val="000000"/>
                <w:kern w:val="0"/>
                <w:sz w:val="18"/>
                <w:szCs w:val="18"/>
              </w:rPr>
            </w:pPr>
            <w:r>
              <w:rPr>
                <w:color w:val="000000"/>
                <w:kern w:val="0"/>
                <w:sz w:val="18"/>
                <w:szCs w:val="18"/>
              </w:rPr>
              <w:t>异位热处理法（假设基坑开挖）</w:t>
            </w:r>
          </w:p>
        </w:tc>
      </w:tr>
      <w:tr w14:paraId="306F1205">
        <w:trPr>
          <w:trHeight w:val="319" w:hRule="atLeast"/>
          <w:tblHeader/>
        </w:trPr>
        <w:tc>
          <w:tcPr>
            <w:tcW w:w="1668" w:type="dxa"/>
            <w:shd w:val="clear" w:color="auto" w:fill="auto"/>
            <w:vAlign w:val="center"/>
          </w:tcPr>
          <w:p w14:paraId="6435C4CC">
            <w:pPr>
              <w:widowControl/>
              <w:rPr>
                <w:color w:val="000000"/>
                <w:kern w:val="0"/>
                <w:sz w:val="18"/>
                <w:szCs w:val="18"/>
              </w:rPr>
            </w:pPr>
            <w:r>
              <w:rPr>
                <w:color w:val="000000"/>
                <w:kern w:val="0"/>
                <w:sz w:val="18"/>
                <w:szCs w:val="18"/>
              </w:rPr>
              <w:t>15 水泥窑协同处置</w:t>
            </w:r>
          </w:p>
        </w:tc>
        <w:tc>
          <w:tcPr>
            <w:tcW w:w="708" w:type="dxa"/>
            <w:shd w:val="clear" w:color="auto" w:fill="auto"/>
            <w:vAlign w:val="center"/>
          </w:tcPr>
          <w:p w14:paraId="7DCBBFB7">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0C86C81E">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29B7EB76">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0FD0C910">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57BE3152">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3676EDB5">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0B8A0735">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4943368C">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32907ED7">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6C5EB9BF">
            <w:pPr>
              <w:widowControl/>
              <w:jc w:val="center"/>
              <w:rPr>
                <w:color w:val="000000"/>
                <w:kern w:val="0"/>
                <w:sz w:val="18"/>
                <w:szCs w:val="18"/>
              </w:rPr>
            </w:pPr>
            <w:r>
              <w:rPr>
                <w:color w:val="000000"/>
                <w:kern w:val="0"/>
                <w:sz w:val="18"/>
                <w:szCs w:val="18"/>
              </w:rPr>
              <w:t>●</w:t>
            </w:r>
          </w:p>
        </w:tc>
        <w:tc>
          <w:tcPr>
            <w:tcW w:w="673" w:type="dxa"/>
            <w:shd w:val="clear" w:color="auto" w:fill="auto"/>
            <w:noWrap/>
            <w:vAlign w:val="center"/>
          </w:tcPr>
          <w:p w14:paraId="0908C4B5">
            <w:pPr>
              <w:widowControl/>
              <w:jc w:val="center"/>
              <w:rPr>
                <w:color w:val="000000"/>
                <w:kern w:val="0"/>
                <w:sz w:val="18"/>
                <w:szCs w:val="18"/>
              </w:rPr>
            </w:pPr>
            <w:r>
              <w:rPr>
                <w:color w:val="000000"/>
                <w:kern w:val="0"/>
                <w:sz w:val="18"/>
                <w:szCs w:val="18"/>
              </w:rPr>
              <w:t>○</w:t>
            </w:r>
          </w:p>
        </w:tc>
      </w:tr>
      <w:tr w14:paraId="542B1084">
        <w:trPr>
          <w:trHeight w:val="319" w:hRule="atLeast"/>
          <w:tblHeader/>
        </w:trPr>
        <w:tc>
          <w:tcPr>
            <w:tcW w:w="1668" w:type="dxa"/>
            <w:shd w:val="clear" w:color="auto" w:fill="auto"/>
            <w:vAlign w:val="center"/>
          </w:tcPr>
          <w:p w14:paraId="3013217C">
            <w:pPr>
              <w:widowControl/>
              <w:rPr>
                <w:color w:val="000000"/>
                <w:kern w:val="0"/>
                <w:sz w:val="18"/>
                <w:szCs w:val="18"/>
              </w:rPr>
            </w:pPr>
            <w:r>
              <w:rPr>
                <w:color w:val="000000"/>
                <w:kern w:val="0"/>
                <w:sz w:val="18"/>
                <w:szCs w:val="18"/>
              </w:rPr>
              <w:t>16 焚烧</w:t>
            </w:r>
          </w:p>
        </w:tc>
        <w:tc>
          <w:tcPr>
            <w:tcW w:w="708" w:type="dxa"/>
            <w:shd w:val="clear" w:color="auto" w:fill="auto"/>
            <w:vAlign w:val="center"/>
          </w:tcPr>
          <w:p w14:paraId="68F85974">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1A8C94F4">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1E3B1801">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5C149D27">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1DDDC340">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5F983F2C">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6EBC5B6A">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4B0BE8F1">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22F45412">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124A0D4F">
            <w:pPr>
              <w:widowControl/>
              <w:jc w:val="center"/>
              <w:rPr>
                <w:color w:val="000000"/>
                <w:kern w:val="0"/>
                <w:sz w:val="18"/>
                <w:szCs w:val="18"/>
              </w:rPr>
            </w:pPr>
            <w:r>
              <w:rPr>
                <w:color w:val="000000"/>
                <w:kern w:val="0"/>
                <w:sz w:val="18"/>
                <w:szCs w:val="18"/>
              </w:rPr>
              <w:t>●</w:t>
            </w:r>
          </w:p>
        </w:tc>
        <w:tc>
          <w:tcPr>
            <w:tcW w:w="673" w:type="dxa"/>
            <w:shd w:val="clear" w:color="auto" w:fill="auto"/>
            <w:noWrap/>
            <w:vAlign w:val="center"/>
          </w:tcPr>
          <w:p w14:paraId="3DED5037">
            <w:pPr>
              <w:widowControl/>
              <w:jc w:val="center"/>
              <w:rPr>
                <w:color w:val="000000"/>
                <w:kern w:val="0"/>
                <w:sz w:val="18"/>
                <w:szCs w:val="18"/>
              </w:rPr>
            </w:pPr>
            <w:r>
              <w:rPr>
                <w:color w:val="000000"/>
                <w:kern w:val="0"/>
                <w:sz w:val="18"/>
                <w:szCs w:val="18"/>
              </w:rPr>
              <w:t>○</w:t>
            </w:r>
          </w:p>
        </w:tc>
      </w:tr>
      <w:tr w14:paraId="0D46D79E">
        <w:trPr>
          <w:trHeight w:val="319" w:hRule="atLeast"/>
          <w:tblHeader/>
        </w:trPr>
        <w:tc>
          <w:tcPr>
            <w:tcW w:w="1668" w:type="dxa"/>
            <w:shd w:val="clear" w:color="auto" w:fill="auto"/>
            <w:vAlign w:val="center"/>
          </w:tcPr>
          <w:p w14:paraId="13257D2F">
            <w:pPr>
              <w:widowControl/>
              <w:rPr>
                <w:color w:val="000000"/>
                <w:kern w:val="0"/>
                <w:sz w:val="18"/>
                <w:szCs w:val="18"/>
              </w:rPr>
            </w:pPr>
            <w:r>
              <w:rPr>
                <w:color w:val="000000"/>
                <w:kern w:val="0"/>
                <w:sz w:val="18"/>
                <w:szCs w:val="18"/>
              </w:rPr>
              <w:t>17 热脱附</w:t>
            </w:r>
          </w:p>
        </w:tc>
        <w:tc>
          <w:tcPr>
            <w:tcW w:w="708" w:type="dxa"/>
            <w:shd w:val="clear" w:color="auto" w:fill="auto"/>
            <w:vAlign w:val="center"/>
          </w:tcPr>
          <w:p w14:paraId="204036C3">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5A81A3A4">
            <w:pPr>
              <w:widowControl/>
              <w:jc w:val="center"/>
              <w:rPr>
                <w:color w:val="000000"/>
                <w:kern w:val="0"/>
                <w:sz w:val="18"/>
                <w:szCs w:val="18"/>
              </w:rPr>
            </w:pPr>
            <w:r>
              <w:rPr>
                <w:color w:val="000000"/>
                <w:kern w:val="0"/>
                <w:sz w:val="18"/>
                <w:szCs w:val="18"/>
              </w:rPr>
              <w:t>○</w:t>
            </w:r>
          </w:p>
        </w:tc>
        <w:tc>
          <w:tcPr>
            <w:tcW w:w="587" w:type="dxa"/>
            <w:shd w:val="clear" w:color="auto" w:fill="auto"/>
            <w:vAlign w:val="center"/>
          </w:tcPr>
          <w:p w14:paraId="3A6FAB63">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690EC283">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76491BB7">
            <w:pPr>
              <w:widowControl/>
              <w:jc w:val="center"/>
              <w:rPr>
                <w:color w:val="000000"/>
                <w:kern w:val="0"/>
                <w:sz w:val="18"/>
                <w:szCs w:val="18"/>
              </w:rPr>
            </w:pPr>
            <w:r>
              <w:rPr>
                <w:rFonts w:hint="eastAsia" w:ascii="宋体" w:hAnsi="宋体" w:cs="宋体"/>
                <w:color w:val="000000"/>
                <w:kern w:val="0"/>
                <w:sz w:val="18"/>
                <w:szCs w:val="18"/>
              </w:rPr>
              <w:t>◎</w:t>
            </w:r>
          </w:p>
        </w:tc>
        <w:tc>
          <w:tcPr>
            <w:tcW w:w="567" w:type="dxa"/>
            <w:shd w:val="clear" w:color="auto" w:fill="auto"/>
            <w:vAlign w:val="center"/>
          </w:tcPr>
          <w:p w14:paraId="6DB92C8B">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73EED471">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2C58EE4F">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6ABB1EE5">
            <w:pPr>
              <w:widowControl/>
              <w:jc w:val="center"/>
              <w:rPr>
                <w:color w:val="000000"/>
                <w:kern w:val="0"/>
                <w:sz w:val="18"/>
                <w:szCs w:val="18"/>
              </w:rPr>
            </w:pPr>
            <w:r>
              <w:rPr>
                <w:color w:val="000000"/>
                <w:kern w:val="0"/>
                <w:sz w:val="18"/>
                <w:szCs w:val="18"/>
              </w:rPr>
              <w:t>●</w:t>
            </w:r>
          </w:p>
        </w:tc>
        <w:tc>
          <w:tcPr>
            <w:tcW w:w="851" w:type="dxa"/>
            <w:shd w:val="clear" w:color="auto" w:fill="auto"/>
            <w:noWrap/>
            <w:vAlign w:val="center"/>
          </w:tcPr>
          <w:p w14:paraId="279D1AFF">
            <w:pPr>
              <w:widowControl/>
              <w:jc w:val="center"/>
              <w:rPr>
                <w:color w:val="000000"/>
                <w:kern w:val="0"/>
                <w:sz w:val="18"/>
                <w:szCs w:val="18"/>
              </w:rPr>
            </w:pPr>
            <w:r>
              <w:rPr>
                <w:color w:val="000000"/>
                <w:kern w:val="0"/>
                <w:sz w:val="18"/>
                <w:szCs w:val="18"/>
              </w:rPr>
              <w:t>●</w:t>
            </w:r>
          </w:p>
        </w:tc>
        <w:tc>
          <w:tcPr>
            <w:tcW w:w="673" w:type="dxa"/>
            <w:shd w:val="clear" w:color="auto" w:fill="auto"/>
            <w:noWrap/>
            <w:vAlign w:val="center"/>
          </w:tcPr>
          <w:p w14:paraId="51218061">
            <w:pPr>
              <w:widowControl/>
              <w:jc w:val="center"/>
              <w:rPr>
                <w:color w:val="000000"/>
                <w:kern w:val="0"/>
                <w:sz w:val="18"/>
                <w:szCs w:val="18"/>
              </w:rPr>
            </w:pPr>
            <w:r>
              <w:rPr>
                <w:color w:val="000000"/>
                <w:kern w:val="0"/>
                <w:sz w:val="18"/>
                <w:szCs w:val="18"/>
              </w:rPr>
              <w:t>○</w:t>
            </w:r>
          </w:p>
        </w:tc>
      </w:tr>
      <w:tr w14:paraId="7FF9524D">
        <w:trPr>
          <w:trHeight w:val="319" w:hRule="atLeast"/>
          <w:tblHeader/>
        </w:trPr>
        <w:tc>
          <w:tcPr>
            <w:tcW w:w="9570" w:type="dxa"/>
            <w:gridSpan w:val="12"/>
            <w:shd w:val="clear" w:color="auto" w:fill="auto"/>
            <w:vAlign w:val="center"/>
          </w:tcPr>
          <w:p w14:paraId="71CA7BB9">
            <w:pPr>
              <w:widowControl/>
              <w:jc w:val="center"/>
              <w:rPr>
                <w:color w:val="000000"/>
                <w:kern w:val="0"/>
                <w:sz w:val="18"/>
                <w:szCs w:val="18"/>
              </w:rPr>
            </w:pPr>
            <w:r>
              <w:rPr>
                <w:color w:val="000000"/>
                <w:kern w:val="0"/>
                <w:sz w:val="18"/>
                <w:szCs w:val="18"/>
              </w:rPr>
              <w:t>其他技术</w:t>
            </w:r>
          </w:p>
        </w:tc>
      </w:tr>
      <w:tr w14:paraId="436FCAAD">
        <w:trPr>
          <w:trHeight w:val="319" w:hRule="atLeast"/>
          <w:tblHeader/>
        </w:trPr>
        <w:tc>
          <w:tcPr>
            <w:tcW w:w="1668" w:type="dxa"/>
            <w:shd w:val="clear" w:color="auto" w:fill="auto"/>
            <w:vAlign w:val="center"/>
          </w:tcPr>
          <w:p w14:paraId="1AD75BF8">
            <w:pPr>
              <w:widowControl/>
              <w:rPr>
                <w:color w:val="000000"/>
                <w:kern w:val="0"/>
                <w:sz w:val="18"/>
                <w:szCs w:val="18"/>
              </w:rPr>
            </w:pPr>
            <w:r>
              <w:rPr>
                <w:color w:val="000000"/>
                <w:kern w:val="0"/>
                <w:sz w:val="18"/>
                <w:szCs w:val="18"/>
              </w:rPr>
              <w:t>18 阻隔填埋</w:t>
            </w:r>
          </w:p>
        </w:tc>
        <w:tc>
          <w:tcPr>
            <w:tcW w:w="708" w:type="dxa"/>
            <w:shd w:val="clear" w:color="auto" w:fill="auto"/>
            <w:vAlign w:val="center"/>
          </w:tcPr>
          <w:p w14:paraId="52F006A5">
            <w:pPr>
              <w:widowControl/>
              <w:jc w:val="center"/>
              <w:rPr>
                <w:color w:val="000000"/>
                <w:kern w:val="0"/>
                <w:sz w:val="18"/>
                <w:szCs w:val="18"/>
              </w:rPr>
            </w:pPr>
            <w:r>
              <w:rPr>
                <w:color w:val="000000"/>
                <w:kern w:val="0"/>
                <w:sz w:val="18"/>
                <w:szCs w:val="18"/>
              </w:rPr>
              <w:t>●</w:t>
            </w:r>
          </w:p>
        </w:tc>
        <w:tc>
          <w:tcPr>
            <w:tcW w:w="709" w:type="dxa"/>
            <w:shd w:val="clear" w:color="auto" w:fill="auto"/>
            <w:vAlign w:val="center"/>
          </w:tcPr>
          <w:p w14:paraId="5D3BC1B4">
            <w:pPr>
              <w:widowControl/>
              <w:jc w:val="center"/>
              <w:rPr>
                <w:color w:val="000000"/>
                <w:kern w:val="0"/>
                <w:sz w:val="18"/>
                <w:szCs w:val="18"/>
              </w:rPr>
            </w:pPr>
            <w:r>
              <w:rPr>
                <w:rFonts w:hint="eastAsia" w:ascii="宋体" w:hAnsi="宋体" w:cs="宋体"/>
                <w:color w:val="000000"/>
                <w:kern w:val="0"/>
                <w:sz w:val="18"/>
                <w:szCs w:val="18"/>
              </w:rPr>
              <w:t>◎</w:t>
            </w:r>
          </w:p>
        </w:tc>
        <w:tc>
          <w:tcPr>
            <w:tcW w:w="587" w:type="dxa"/>
            <w:shd w:val="clear" w:color="auto" w:fill="auto"/>
            <w:vAlign w:val="center"/>
          </w:tcPr>
          <w:p w14:paraId="58830775">
            <w:pPr>
              <w:widowControl/>
              <w:jc w:val="center"/>
              <w:rPr>
                <w:color w:val="000000"/>
                <w:kern w:val="0"/>
                <w:sz w:val="18"/>
                <w:szCs w:val="18"/>
              </w:rPr>
            </w:pPr>
            <w:r>
              <w:rPr>
                <w:color w:val="000000"/>
                <w:kern w:val="0"/>
                <w:sz w:val="18"/>
                <w:szCs w:val="18"/>
              </w:rPr>
              <w:t>○</w:t>
            </w:r>
          </w:p>
        </w:tc>
        <w:tc>
          <w:tcPr>
            <w:tcW w:w="689" w:type="dxa"/>
            <w:shd w:val="clear" w:color="auto" w:fill="auto"/>
            <w:vAlign w:val="center"/>
          </w:tcPr>
          <w:p w14:paraId="35C1F104">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6C47F44D">
            <w:pPr>
              <w:widowControl/>
              <w:jc w:val="center"/>
              <w:rPr>
                <w:color w:val="000000"/>
                <w:kern w:val="0"/>
                <w:sz w:val="18"/>
                <w:szCs w:val="18"/>
              </w:rPr>
            </w:pPr>
            <w:r>
              <w:rPr>
                <w:color w:val="000000"/>
                <w:kern w:val="0"/>
                <w:sz w:val="18"/>
                <w:szCs w:val="18"/>
              </w:rPr>
              <w:t>●</w:t>
            </w:r>
          </w:p>
        </w:tc>
        <w:tc>
          <w:tcPr>
            <w:tcW w:w="567" w:type="dxa"/>
            <w:shd w:val="clear" w:color="auto" w:fill="auto"/>
            <w:vAlign w:val="center"/>
          </w:tcPr>
          <w:p w14:paraId="1F74239D">
            <w:pPr>
              <w:widowControl/>
              <w:jc w:val="center"/>
              <w:rPr>
                <w:color w:val="000000"/>
                <w:kern w:val="0"/>
                <w:sz w:val="18"/>
                <w:szCs w:val="18"/>
              </w:rPr>
            </w:pPr>
            <w:r>
              <w:rPr>
                <w:color w:val="000000"/>
                <w:kern w:val="0"/>
                <w:sz w:val="18"/>
                <w:szCs w:val="18"/>
              </w:rPr>
              <w:t>○</w:t>
            </w:r>
          </w:p>
        </w:tc>
        <w:tc>
          <w:tcPr>
            <w:tcW w:w="850" w:type="dxa"/>
            <w:shd w:val="clear" w:color="auto" w:fill="auto"/>
            <w:noWrap/>
            <w:vAlign w:val="center"/>
          </w:tcPr>
          <w:p w14:paraId="4586F867">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65F4745D">
            <w:pPr>
              <w:widowControl/>
              <w:jc w:val="center"/>
              <w:rPr>
                <w:color w:val="000000"/>
                <w:kern w:val="0"/>
                <w:sz w:val="18"/>
                <w:szCs w:val="18"/>
              </w:rPr>
            </w:pPr>
            <w:r>
              <w:rPr>
                <w:rFonts w:hint="eastAsia" w:ascii="宋体" w:hAnsi="宋体" w:cs="宋体"/>
                <w:color w:val="000000"/>
                <w:kern w:val="0"/>
                <w:sz w:val="18"/>
                <w:szCs w:val="18"/>
              </w:rPr>
              <w:t>◎</w:t>
            </w:r>
          </w:p>
        </w:tc>
        <w:tc>
          <w:tcPr>
            <w:tcW w:w="850" w:type="dxa"/>
            <w:shd w:val="clear" w:color="auto" w:fill="auto"/>
            <w:noWrap/>
            <w:vAlign w:val="center"/>
          </w:tcPr>
          <w:p w14:paraId="6E20F1AB">
            <w:pPr>
              <w:widowControl/>
              <w:jc w:val="center"/>
              <w:rPr>
                <w:color w:val="000000"/>
                <w:kern w:val="0"/>
                <w:sz w:val="18"/>
                <w:szCs w:val="18"/>
              </w:rPr>
            </w:pPr>
            <w:r>
              <w:rPr>
                <w:rFonts w:hint="eastAsia" w:ascii="宋体" w:hAnsi="宋体" w:cs="宋体"/>
                <w:color w:val="000000"/>
                <w:kern w:val="0"/>
                <w:sz w:val="18"/>
                <w:szCs w:val="18"/>
              </w:rPr>
              <w:t>◎</w:t>
            </w:r>
          </w:p>
        </w:tc>
        <w:tc>
          <w:tcPr>
            <w:tcW w:w="851" w:type="dxa"/>
            <w:shd w:val="clear" w:color="auto" w:fill="auto"/>
            <w:noWrap/>
            <w:vAlign w:val="center"/>
          </w:tcPr>
          <w:p w14:paraId="00E41DD1">
            <w:pPr>
              <w:widowControl/>
              <w:jc w:val="center"/>
              <w:rPr>
                <w:color w:val="000000"/>
                <w:kern w:val="0"/>
                <w:sz w:val="18"/>
                <w:szCs w:val="18"/>
              </w:rPr>
            </w:pPr>
            <w:r>
              <w:rPr>
                <w:rFonts w:hint="eastAsia" w:ascii="宋体" w:hAnsi="宋体" w:cs="宋体"/>
                <w:color w:val="000000"/>
                <w:kern w:val="0"/>
                <w:sz w:val="18"/>
                <w:szCs w:val="18"/>
              </w:rPr>
              <w:t>◎</w:t>
            </w:r>
          </w:p>
        </w:tc>
        <w:tc>
          <w:tcPr>
            <w:tcW w:w="673" w:type="dxa"/>
            <w:shd w:val="clear" w:color="auto" w:fill="auto"/>
            <w:noWrap/>
            <w:vAlign w:val="center"/>
          </w:tcPr>
          <w:p w14:paraId="4A589598">
            <w:pPr>
              <w:widowControl/>
              <w:jc w:val="center"/>
              <w:rPr>
                <w:color w:val="000000"/>
                <w:kern w:val="0"/>
                <w:sz w:val="18"/>
                <w:szCs w:val="18"/>
              </w:rPr>
            </w:pPr>
            <w:r>
              <w:rPr>
                <w:rFonts w:hint="eastAsia" w:ascii="宋体" w:hAnsi="宋体" w:cs="宋体"/>
                <w:color w:val="000000"/>
                <w:kern w:val="0"/>
                <w:sz w:val="18"/>
                <w:szCs w:val="18"/>
              </w:rPr>
              <w:t>◎</w:t>
            </w:r>
          </w:p>
        </w:tc>
      </w:tr>
      <w:tr w14:paraId="371BA029">
        <w:trPr>
          <w:trHeight w:val="319" w:hRule="atLeast"/>
          <w:tblHeader/>
        </w:trPr>
        <w:tc>
          <w:tcPr>
            <w:tcW w:w="1668" w:type="dxa"/>
            <w:tcBorders>
              <w:bottom w:val="single" w:color="auto" w:sz="8" w:space="0"/>
            </w:tcBorders>
            <w:shd w:val="clear" w:color="auto" w:fill="auto"/>
            <w:vAlign w:val="center"/>
          </w:tcPr>
          <w:p w14:paraId="32BF27B7">
            <w:pPr>
              <w:widowControl/>
              <w:rPr>
                <w:color w:val="000000"/>
                <w:kern w:val="0"/>
                <w:sz w:val="18"/>
                <w:szCs w:val="18"/>
              </w:rPr>
            </w:pPr>
            <w:r>
              <w:rPr>
                <w:color w:val="000000"/>
                <w:kern w:val="0"/>
                <w:sz w:val="18"/>
                <w:szCs w:val="18"/>
              </w:rPr>
              <w:t>19 开挖、运出、安全填埋</w:t>
            </w:r>
          </w:p>
        </w:tc>
        <w:tc>
          <w:tcPr>
            <w:tcW w:w="708" w:type="dxa"/>
            <w:tcBorders>
              <w:bottom w:val="single" w:color="auto" w:sz="8" w:space="0"/>
            </w:tcBorders>
            <w:shd w:val="clear" w:color="auto" w:fill="auto"/>
            <w:vAlign w:val="center"/>
          </w:tcPr>
          <w:p w14:paraId="6A635B4A">
            <w:pPr>
              <w:widowControl/>
              <w:jc w:val="center"/>
              <w:rPr>
                <w:color w:val="000000"/>
                <w:kern w:val="0"/>
                <w:sz w:val="18"/>
                <w:szCs w:val="18"/>
              </w:rPr>
            </w:pPr>
            <w:r>
              <w:rPr>
                <w:color w:val="000000"/>
                <w:kern w:val="0"/>
                <w:sz w:val="18"/>
                <w:szCs w:val="18"/>
              </w:rPr>
              <w:t>●</w:t>
            </w:r>
          </w:p>
        </w:tc>
        <w:tc>
          <w:tcPr>
            <w:tcW w:w="709" w:type="dxa"/>
            <w:tcBorders>
              <w:bottom w:val="single" w:color="auto" w:sz="8" w:space="0"/>
            </w:tcBorders>
            <w:shd w:val="clear" w:color="auto" w:fill="auto"/>
            <w:vAlign w:val="center"/>
          </w:tcPr>
          <w:p w14:paraId="00B20E7D">
            <w:pPr>
              <w:widowControl/>
              <w:jc w:val="center"/>
              <w:rPr>
                <w:color w:val="000000"/>
                <w:kern w:val="0"/>
                <w:sz w:val="18"/>
                <w:szCs w:val="18"/>
              </w:rPr>
            </w:pPr>
            <w:r>
              <w:rPr>
                <w:color w:val="000000"/>
                <w:kern w:val="0"/>
                <w:sz w:val="18"/>
                <w:szCs w:val="18"/>
              </w:rPr>
              <w:t>●</w:t>
            </w:r>
          </w:p>
        </w:tc>
        <w:tc>
          <w:tcPr>
            <w:tcW w:w="587" w:type="dxa"/>
            <w:tcBorders>
              <w:bottom w:val="single" w:color="auto" w:sz="8" w:space="0"/>
            </w:tcBorders>
            <w:shd w:val="clear" w:color="auto" w:fill="auto"/>
            <w:vAlign w:val="center"/>
          </w:tcPr>
          <w:p w14:paraId="49E27467">
            <w:pPr>
              <w:widowControl/>
              <w:jc w:val="center"/>
              <w:rPr>
                <w:color w:val="000000"/>
                <w:kern w:val="0"/>
                <w:sz w:val="18"/>
                <w:szCs w:val="18"/>
              </w:rPr>
            </w:pPr>
            <w:r>
              <w:rPr>
                <w:color w:val="000000"/>
                <w:kern w:val="0"/>
                <w:sz w:val="18"/>
                <w:szCs w:val="18"/>
              </w:rPr>
              <w:t>●</w:t>
            </w:r>
          </w:p>
        </w:tc>
        <w:tc>
          <w:tcPr>
            <w:tcW w:w="689" w:type="dxa"/>
            <w:tcBorders>
              <w:bottom w:val="single" w:color="auto" w:sz="8" w:space="0"/>
            </w:tcBorders>
            <w:shd w:val="clear" w:color="auto" w:fill="auto"/>
            <w:vAlign w:val="center"/>
          </w:tcPr>
          <w:p w14:paraId="0F986698">
            <w:pPr>
              <w:widowControl/>
              <w:jc w:val="center"/>
              <w:rPr>
                <w:color w:val="000000"/>
                <w:kern w:val="0"/>
                <w:sz w:val="18"/>
                <w:szCs w:val="18"/>
              </w:rPr>
            </w:pPr>
            <w:r>
              <w:rPr>
                <w:color w:val="000000"/>
                <w:kern w:val="0"/>
                <w:sz w:val="18"/>
                <w:szCs w:val="18"/>
              </w:rPr>
              <w:t>●</w:t>
            </w:r>
          </w:p>
        </w:tc>
        <w:tc>
          <w:tcPr>
            <w:tcW w:w="567" w:type="dxa"/>
            <w:tcBorders>
              <w:bottom w:val="single" w:color="auto" w:sz="8" w:space="0"/>
            </w:tcBorders>
            <w:shd w:val="clear" w:color="auto" w:fill="auto"/>
            <w:vAlign w:val="center"/>
          </w:tcPr>
          <w:p w14:paraId="64A4859F">
            <w:pPr>
              <w:widowControl/>
              <w:jc w:val="center"/>
              <w:rPr>
                <w:color w:val="000000"/>
                <w:kern w:val="0"/>
                <w:sz w:val="18"/>
                <w:szCs w:val="18"/>
              </w:rPr>
            </w:pPr>
            <w:r>
              <w:rPr>
                <w:rFonts w:hint="eastAsia" w:ascii="宋体" w:hAnsi="宋体" w:cs="宋体"/>
                <w:color w:val="000000"/>
                <w:kern w:val="0"/>
                <w:sz w:val="18"/>
                <w:szCs w:val="18"/>
              </w:rPr>
              <w:t>◇</w:t>
            </w:r>
          </w:p>
        </w:tc>
        <w:tc>
          <w:tcPr>
            <w:tcW w:w="567" w:type="dxa"/>
            <w:tcBorders>
              <w:bottom w:val="single" w:color="auto" w:sz="8" w:space="0"/>
            </w:tcBorders>
            <w:shd w:val="clear" w:color="auto" w:fill="auto"/>
            <w:vAlign w:val="center"/>
          </w:tcPr>
          <w:p w14:paraId="16A70BA4">
            <w:pPr>
              <w:widowControl/>
              <w:jc w:val="center"/>
              <w:rPr>
                <w:color w:val="000000"/>
                <w:kern w:val="0"/>
                <w:sz w:val="18"/>
                <w:szCs w:val="18"/>
              </w:rPr>
            </w:pPr>
            <w:r>
              <w:rPr>
                <w:color w:val="000000"/>
                <w:kern w:val="0"/>
                <w:sz w:val="18"/>
                <w:szCs w:val="18"/>
              </w:rPr>
              <w:t>●</w:t>
            </w:r>
          </w:p>
        </w:tc>
        <w:tc>
          <w:tcPr>
            <w:tcW w:w="850" w:type="dxa"/>
            <w:tcBorders>
              <w:bottom w:val="single" w:color="auto" w:sz="8" w:space="0"/>
            </w:tcBorders>
            <w:shd w:val="clear" w:color="auto" w:fill="auto"/>
            <w:noWrap/>
            <w:vAlign w:val="center"/>
          </w:tcPr>
          <w:p w14:paraId="2176551E">
            <w:pPr>
              <w:widowControl/>
              <w:jc w:val="center"/>
              <w:rPr>
                <w:color w:val="000000"/>
                <w:kern w:val="0"/>
                <w:sz w:val="18"/>
                <w:szCs w:val="18"/>
              </w:rPr>
            </w:pPr>
            <w:r>
              <w:rPr>
                <w:rFonts w:hint="eastAsia" w:ascii="宋体" w:hAnsi="宋体" w:cs="宋体"/>
                <w:color w:val="000000"/>
                <w:kern w:val="0"/>
                <w:sz w:val="18"/>
                <w:szCs w:val="18"/>
              </w:rPr>
              <w:t>◎</w:t>
            </w:r>
          </w:p>
        </w:tc>
        <w:tc>
          <w:tcPr>
            <w:tcW w:w="851" w:type="dxa"/>
            <w:tcBorders>
              <w:bottom w:val="single" w:color="auto" w:sz="8" w:space="0"/>
            </w:tcBorders>
            <w:shd w:val="clear" w:color="auto" w:fill="auto"/>
            <w:noWrap/>
            <w:vAlign w:val="center"/>
          </w:tcPr>
          <w:p w14:paraId="53AC1EC3">
            <w:pPr>
              <w:widowControl/>
              <w:jc w:val="center"/>
              <w:rPr>
                <w:color w:val="000000"/>
                <w:kern w:val="0"/>
                <w:sz w:val="18"/>
                <w:szCs w:val="18"/>
              </w:rPr>
            </w:pPr>
            <w:r>
              <w:rPr>
                <w:rFonts w:hint="eastAsia" w:ascii="宋体" w:hAnsi="宋体" w:cs="宋体"/>
                <w:color w:val="000000"/>
                <w:kern w:val="0"/>
                <w:sz w:val="18"/>
                <w:szCs w:val="18"/>
              </w:rPr>
              <w:t>◎</w:t>
            </w:r>
          </w:p>
        </w:tc>
        <w:tc>
          <w:tcPr>
            <w:tcW w:w="850" w:type="dxa"/>
            <w:tcBorders>
              <w:bottom w:val="single" w:color="auto" w:sz="8" w:space="0"/>
            </w:tcBorders>
            <w:shd w:val="clear" w:color="auto" w:fill="auto"/>
            <w:noWrap/>
            <w:vAlign w:val="center"/>
          </w:tcPr>
          <w:p w14:paraId="0D2507E5">
            <w:pPr>
              <w:widowControl/>
              <w:jc w:val="center"/>
              <w:rPr>
                <w:color w:val="000000"/>
                <w:kern w:val="0"/>
                <w:sz w:val="18"/>
                <w:szCs w:val="18"/>
              </w:rPr>
            </w:pPr>
            <w:r>
              <w:rPr>
                <w:rFonts w:hint="eastAsia" w:ascii="宋体" w:hAnsi="宋体" w:cs="宋体"/>
                <w:color w:val="000000"/>
                <w:kern w:val="0"/>
                <w:sz w:val="18"/>
                <w:szCs w:val="18"/>
              </w:rPr>
              <w:t>◎</w:t>
            </w:r>
          </w:p>
        </w:tc>
        <w:tc>
          <w:tcPr>
            <w:tcW w:w="851" w:type="dxa"/>
            <w:tcBorders>
              <w:bottom w:val="single" w:color="auto" w:sz="8" w:space="0"/>
            </w:tcBorders>
            <w:shd w:val="clear" w:color="auto" w:fill="auto"/>
            <w:noWrap/>
            <w:vAlign w:val="center"/>
          </w:tcPr>
          <w:p w14:paraId="60AC82A1">
            <w:pPr>
              <w:widowControl/>
              <w:jc w:val="center"/>
              <w:rPr>
                <w:color w:val="000000"/>
                <w:kern w:val="0"/>
                <w:sz w:val="18"/>
                <w:szCs w:val="18"/>
              </w:rPr>
            </w:pPr>
            <w:r>
              <w:rPr>
                <w:rFonts w:hint="eastAsia" w:ascii="宋体" w:hAnsi="宋体" w:cs="宋体"/>
                <w:color w:val="000000"/>
                <w:kern w:val="0"/>
                <w:sz w:val="18"/>
                <w:szCs w:val="18"/>
              </w:rPr>
              <w:t>◎</w:t>
            </w:r>
          </w:p>
        </w:tc>
        <w:tc>
          <w:tcPr>
            <w:tcW w:w="673" w:type="dxa"/>
            <w:tcBorders>
              <w:bottom w:val="single" w:color="auto" w:sz="8" w:space="0"/>
            </w:tcBorders>
            <w:shd w:val="clear" w:color="auto" w:fill="auto"/>
            <w:noWrap/>
            <w:vAlign w:val="center"/>
          </w:tcPr>
          <w:p w14:paraId="551C3B4B">
            <w:pPr>
              <w:widowControl/>
              <w:jc w:val="center"/>
              <w:rPr>
                <w:color w:val="000000"/>
                <w:kern w:val="0"/>
                <w:sz w:val="18"/>
                <w:szCs w:val="18"/>
              </w:rPr>
            </w:pPr>
            <w:r>
              <w:rPr>
                <w:rFonts w:hint="eastAsia" w:ascii="宋体" w:hAnsi="宋体" w:cs="宋体"/>
                <w:color w:val="000000"/>
                <w:kern w:val="0"/>
                <w:sz w:val="18"/>
                <w:szCs w:val="18"/>
              </w:rPr>
              <w:t>◎</w:t>
            </w:r>
          </w:p>
        </w:tc>
      </w:tr>
    </w:tbl>
    <w:p w14:paraId="39DC1EA9">
      <w:pPr>
        <w:pStyle w:val="33"/>
      </w:pPr>
    </w:p>
    <w:p w14:paraId="4C910419">
      <w:pPr>
        <w:pStyle w:val="33"/>
      </w:pPr>
    </w:p>
    <w:p w14:paraId="72571097">
      <w:pPr>
        <w:spacing w:line="360" w:lineRule="auto"/>
        <w:ind w:firstLine="480" w:firstLineChars="200"/>
        <w:jc w:val="center"/>
        <w:rPr>
          <w:sz w:val="24"/>
        </w:rPr>
      </w:pPr>
    </w:p>
    <w:p w14:paraId="11246513">
      <w:pPr>
        <w:pStyle w:val="2"/>
        <w:adjustRightInd w:val="0"/>
        <w:snapToGrid w:val="0"/>
        <w:spacing w:line="360" w:lineRule="auto"/>
        <w:rPr>
          <w:sz w:val="24"/>
          <w:szCs w:val="24"/>
          <w:lang w:val="zh-CN"/>
        </w:rPr>
      </w:pPr>
      <w:bookmarkStart w:id="12" w:name="_Toc133245290"/>
      <w:r>
        <w:rPr>
          <w:sz w:val="24"/>
          <w:szCs w:val="24"/>
          <w:lang w:val="zh-CN"/>
        </w:rPr>
        <w:t>5 编制原则</w:t>
      </w:r>
      <w:bookmarkEnd w:id="12"/>
    </w:p>
    <w:p w14:paraId="3C4632E4">
      <w:pPr>
        <w:pStyle w:val="3"/>
        <w:spacing w:line="360" w:lineRule="auto"/>
        <w:rPr>
          <w:rFonts w:ascii="Times New Roman" w:hAnsi="Times New Roman" w:eastAsia="宋体" w:cs="Times New Roman"/>
          <w:sz w:val="24"/>
          <w:szCs w:val="24"/>
        </w:rPr>
      </w:pPr>
      <w:bookmarkStart w:id="13" w:name="_Toc133245291"/>
      <w:r>
        <w:rPr>
          <w:rFonts w:ascii="Times New Roman" w:hAnsi="Times New Roman" w:eastAsia="宋体" w:cs="Times New Roman"/>
          <w:sz w:val="24"/>
          <w:szCs w:val="24"/>
        </w:rPr>
        <w:t xml:space="preserve">5.1 </w:t>
      </w:r>
      <w:r>
        <w:rPr>
          <w:rFonts w:hint="eastAsia" w:ascii="Times New Roman" w:hAnsi="Times New Roman" w:eastAsia="宋体" w:cs="Times New Roman"/>
          <w:sz w:val="24"/>
          <w:szCs w:val="24"/>
        </w:rPr>
        <w:t>规范性引用文件</w:t>
      </w:r>
      <w:bookmarkEnd w:id="13"/>
    </w:p>
    <w:p w14:paraId="6C1B1603">
      <w:pPr>
        <w:widowControl/>
        <w:spacing w:line="360" w:lineRule="auto"/>
        <w:ind w:firstLine="480" w:firstLineChars="200"/>
        <w:rPr>
          <w:sz w:val="24"/>
        </w:rPr>
      </w:pPr>
      <w:r>
        <w:rPr>
          <w:rFonts w:hint="eastAsia"/>
          <w:sz w:val="24"/>
        </w:rPr>
        <w:t>GB 36600           土壤环境质量 建设用地土壤污染风险管控标准</w:t>
      </w:r>
    </w:p>
    <w:p w14:paraId="66287257">
      <w:pPr>
        <w:widowControl/>
        <w:spacing w:line="360" w:lineRule="auto"/>
        <w:ind w:firstLine="480" w:firstLineChars="200"/>
        <w:rPr>
          <w:sz w:val="24"/>
        </w:rPr>
      </w:pPr>
      <w:r>
        <w:rPr>
          <w:rFonts w:hint="eastAsia"/>
          <w:sz w:val="24"/>
        </w:rPr>
        <w:t>HJ 25.1             建设用地土壤污染状况调查技术导则</w:t>
      </w:r>
    </w:p>
    <w:p w14:paraId="38B75A2F">
      <w:pPr>
        <w:widowControl/>
        <w:spacing w:line="360" w:lineRule="auto"/>
        <w:ind w:firstLine="480" w:firstLineChars="200"/>
        <w:rPr>
          <w:sz w:val="24"/>
        </w:rPr>
      </w:pPr>
      <w:r>
        <w:rPr>
          <w:rFonts w:hint="eastAsia"/>
          <w:sz w:val="24"/>
        </w:rPr>
        <w:t>HJ 25.2             建设用地土壤污染风险管控和修复监测技术导则</w:t>
      </w:r>
    </w:p>
    <w:p w14:paraId="6D0B8A19">
      <w:pPr>
        <w:widowControl/>
        <w:spacing w:line="360" w:lineRule="auto"/>
        <w:ind w:firstLine="480" w:firstLineChars="200"/>
        <w:rPr>
          <w:sz w:val="24"/>
        </w:rPr>
      </w:pPr>
      <w:r>
        <w:rPr>
          <w:rFonts w:hint="eastAsia"/>
          <w:sz w:val="24"/>
        </w:rPr>
        <w:t>HJ 25.3             建设用地土壤污染风险评估技术导则</w:t>
      </w:r>
    </w:p>
    <w:p w14:paraId="6EBDD6CB">
      <w:pPr>
        <w:widowControl/>
        <w:spacing w:line="360" w:lineRule="auto"/>
        <w:ind w:firstLine="480" w:firstLineChars="200"/>
        <w:rPr>
          <w:sz w:val="24"/>
        </w:rPr>
      </w:pPr>
      <w:r>
        <w:rPr>
          <w:rFonts w:hint="eastAsia"/>
          <w:sz w:val="24"/>
        </w:rPr>
        <w:t>HJ 25.4             建设用地土壤修复技术导则</w:t>
      </w:r>
    </w:p>
    <w:p w14:paraId="03E61160">
      <w:pPr>
        <w:widowControl/>
        <w:spacing w:line="360" w:lineRule="auto"/>
        <w:ind w:firstLine="480" w:firstLineChars="200"/>
        <w:rPr>
          <w:sz w:val="24"/>
        </w:rPr>
      </w:pPr>
      <w:r>
        <w:rPr>
          <w:rFonts w:hint="eastAsia"/>
          <w:sz w:val="24"/>
        </w:rPr>
        <w:t>HJ 25.5             污染地块风险管控与土壤修复效果评估技术导则（试行）</w:t>
      </w:r>
    </w:p>
    <w:p w14:paraId="2C354B72">
      <w:pPr>
        <w:widowControl/>
        <w:spacing w:line="360" w:lineRule="auto"/>
        <w:ind w:firstLine="480" w:firstLineChars="200"/>
        <w:rPr>
          <w:sz w:val="24"/>
        </w:rPr>
      </w:pPr>
      <w:r>
        <w:rPr>
          <w:rFonts w:hint="eastAsia"/>
          <w:sz w:val="24"/>
        </w:rPr>
        <w:t>HJ 25.6             污染地块地下水修复和风险管控技术导则</w:t>
      </w:r>
    </w:p>
    <w:p w14:paraId="139C1767">
      <w:pPr>
        <w:widowControl/>
        <w:spacing w:line="360" w:lineRule="auto"/>
        <w:ind w:firstLine="480" w:firstLineChars="200"/>
        <w:rPr>
          <w:sz w:val="24"/>
        </w:rPr>
      </w:pPr>
      <w:r>
        <w:rPr>
          <w:rFonts w:hint="eastAsia"/>
          <w:sz w:val="24"/>
        </w:rPr>
        <w:t>HJ 164             地下水环境监测技术规范</w:t>
      </w:r>
    </w:p>
    <w:p w14:paraId="663A8CBA">
      <w:pPr>
        <w:widowControl/>
        <w:spacing w:line="360" w:lineRule="auto"/>
        <w:ind w:firstLine="480" w:firstLineChars="200"/>
        <w:rPr>
          <w:sz w:val="24"/>
        </w:rPr>
      </w:pPr>
      <w:r>
        <w:rPr>
          <w:rFonts w:hint="eastAsia"/>
          <w:sz w:val="24"/>
        </w:rPr>
        <w:t>HJ/T 166           土壤环境监测技术规范</w:t>
      </w:r>
    </w:p>
    <w:p w14:paraId="6F35B241">
      <w:pPr>
        <w:widowControl/>
        <w:spacing w:line="360" w:lineRule="auto"/>
        <w:ind w:firstLine="480" w:firstLineChars="200"/>
        <w:rPr>
          <w:sz w:val="24"/>
        </w:rPr>
      </w:pPr>
      <w:r>
        <w:rPr>
          <w:rFonts w:hint="eastAsia"/>
          <w:sz w:val="24"/>
        </w:rPr>
        <w:t>HJ 682             建设用地土壤污染风险管控和修复术语</w:t>
      </w:r>
    </w:p>
    <w:p w14:paraId="7A045D06">
      <w:pPr>
        <w:widowControl/>
        <w:spacing w:line="360" w:lineRule="auto"/>
        <w:ind w:firstLine="480" w:firstLineChars="200"/>
        <w:rPr>
          <w:sz w:val="24"/>
        </w:rPr>
      </w:pPr>
      <w:r>
        <w:rPr>
          <w:rFonts w:hint="eastAsia"/>
          <w:sz w:val="24"/>
        </w:rPr>
        <w:t>HJ589-2021</w:t>
      </w:r>
      <w:r>
        <w:rPr>
          <w:sz w:val="24"/>
        </w:rPr>
        <w:t xml:space="preserve">        </w:t>
      </w:r>
      <w:r>
        <w:rPr>
          <w:rFonts w:hint="eastAsia"/>
          <w:sz w:val="24"/>
        </w:rPr>
        <w:t xml:space="preserve"> 突发环境事件应急监测技术规范</w:t>
      </w:r>
    </w:p>
    <w:p w14:paraId="1471A14C">
      <w:pPr>
        <w:widowControl/>
        <w:spacing w:line="360" w:lineRule="auto"/>
        <w:ind w:firstLine="480" w:firstLineChars="200"/>
        <w:rPr>
          <w:sz w:val="24"/>
        </w:rPr>
      </w:pPr>
      <w:r>
        <w:rPr>
          <w:sz w:val="24"/>
        </w:rPr>
        <w:t xml:space="preserve">GB5085.1          </w:t>
      </w:r>
      <w:r>
        <w:rPr>
          <w:rFonts w:hint="eastAsia"/>
          <w:sz w:val="24"/>
        </w:rPr>
        <w:t>危险废物鉴别标准腐蚀性鉴别</w:t>
      </w:r>
    </w:p>
    <w:p w14:paraId="6645ACA9">
      <w:pPr>
        <w:widowControl/>
        <w:spacing w:line="360" w:lineRule="auto"/>
        <w:ind w:firstLine="480" w:firstLineChars="200"/>
        <w:rPr>
          <w:sz w:val="24"/>
        </w:rPr>
      </w:pPr>
      <w:r>
        <w:rPr>
          <w:sz w:val="24"/>
        </w:rPr>
        <w:t xml:space="preserve">GB5085.3          </w:t>
      </w:r>
      <w:r>
        <w:rPr>
          <w:rFonts w:hint="eastAsia"/>
          <w:sz w:val="24"/>
        </w:rPr>
        <w:t>危险废物鉴别标准浸出毒性鉴别</w:t>
      </w:r>
    </w:p>
    <w:p w14:paraId="19FDB73F">
      <w:pPr>
        <w:widowControl/>
        <w:spacing w:line="360" w:lineRule="auto"/>
        <w:ind w:firstLine="480" w:firstLineChars="200"/>
        <w:rPr>
          <w:sz w:val="24"/>
        </w:rPr>
      </w:pPr>
      <w:r>
        <w:rPr>
          <w:rFonts w:hint="eastAsia"/>
          <w:sz w:val="24"/>
        </w:rPr>
        <w:t xml:space="preserve">环境保护部令第 34 号   </w:t>
      </w:r>
      <w:r>
        <w:rPr>
          <w:sz w:val="24"/>
        </w:rPr>
        <w:t xml:space="preserve"> </w:t>
      </w:r>
      <w:r>
        <w:rPr>
          <w:rFonts w:hint="eastAsia"/>
          <w:sz w:val="24"/>
        </w:rPr>
        <w:t>突发环境事件应急管理办法</w:t>
      </w:r>
    </w:p>
    <w:p w14:paraId="356BBC49">
      <w:pPr>
        <w:widowControl/>
        <w:spacing w:line="360" w:lineRule="auto"/>
        <w:ind w:firstLine="480" w:firstLineChars="200"/>
        <w:rPr>
          <w:sz w:val="24"/>
        </w:rPr>
      </w:pPr>
      <w:r>
        <w:rPr>
          <w:rFonts w:hint="eastAsia"/>
          <w:sz w:val="24"/>
        </w:rPr>
        <w:t xml:space="preserve">环应急〔2020〕28号 </w:t>
      </w:r>
      <w:r>
        <w:rPr>
          <w:sz w:val="24"/>
        </w:rPr>
        <w:t xml:space="preserve">    </w:t>
      </w:r>
      <w:r>
        <w:rPr>
          <w:rFonts w:hint="eastAsia"/>
          <w:sz w:val="24"/>
        </w:rPr>
        <w:t>突发生态环境事件应急处置阶段直接经济损失评估工作程序规定</w:t>
      </w:r>
    </w:p>
    <w:p w14:paraId="0123128B">
      <w:pPr>
        <w:pStyle w:val="3"/>
        <w:spacing w:line="360" w:lineRule="auto"/>
        <w:rPr>
          <w:rFonts w:ascii="Times New Roman" w:hAnsi="Times New Roman" w:eastAsia="宋体" w:cs="Times New Roman"/>
          <w:sz w:val="24"/>
          <w:szCs w:val="24"/>
        </w:rPr>
      </w:pPr>
      <w:bookmarkStart w:id="14" w:name="_Toc133245292"/>
      <w:r>
        <w:rPr>
          <w:rFonts w:ascii="Times New Roman" w:hAnsi="Times New Roman" w:eastAsia="宋体" w:cs="Times New Roman"/>
          <w:sz w:val="24"/>
          <w:szCs w:val="24"/>
        </w:rPr>
        <w:t xml:space="preserve">5.2 </w:t>
      </w:r>
      <w:r>
        <w:rPr>
          <w:rFonts w:hint="eastAsia" w:ascii="Times New Roman" w:hAnsi="Times New Roman" w:eastAsia="宋体" w:cs="Times New Roman"/>
          <w:sz w:val="24"/>
          <w:szCs w:val="24"/>
        </w:rPr>
        <w:t>总体原则</w:t>
      </w:r>
      <w:bookmarkEnd w:id="14"/>
    </w:p>
    <w:p w14:paraId="398AFFB1">
      <w:pPr>
        <w:widowControl/>
        <w:spacing w:line="360" w:lineRule="auto"/>
        <w:ind w:firstLine="480" w:firstLineChars="200"/>
        <w:rPr>
          <w:sz w:val="24"/>
        </w:rPr>
      </w:pPr>
      <w:r>
        <w:rPr>
          <w:rFonts w:hint="eastAsia"/>
          <w:sz w:val="24"/>
        </w:rPr>
        <w:t>时效性原则：接到应急响应指令时，应做好相应记录并立即启动应急处置预案，开展应急处置工作。应急处置方案制定要充分考虑处置的及时性，优先采取耗时较短、见效较快的处置技术。</w:t>
      </w:r>
    </w:p>
    <w:p w14:paraId="247FEEB0">
      <w:pPr>
        <w:widowControl/>
        <w:spacing w:line="360" w:lineRule="auto"/>
        <w:ind w:firstLine="480" w:firstLineChars="200"/>
        <w:rPr>
          <w:sz w:val="24"/>
        </w:rPr>
      </w:pPr>
      <w:r>
        <w:rPr>
          <w:rFonts w:hint="eastAsia"/>
          <w:sz w:val="24"/>
        </w:rPr>
        <w:t>安全性原则：制定地块土壤修复方案要确保地块修复工程实施安全，防止对施工人员、周边人群健康以及生态环境产生危害和二次污染。</w:t>
      </w:r>
    </w:p>
    <w:p w14:paraId="5AF49C85">
      <w:pPr>
        <w:widowControl/>
        <w:spacing w:line="360" w:lineRule="auto"/>
        <w:ind w:firstLine="480" w:firstLineChars="200"/>
        <w:rPr>
          <w:sz w:val="24"/>
        </w:rPr>
      </w:pPr>
      <w:r>
        <w:rPr>
          <w:rFonts w:hint="eastAsia"/>
          <w:sz w:val="24"/>
        </w:rPr>
        <w:t>科学性原则：采用科学的方法，综合考虑地块修复目标、土壤修复技术的处理效果、修复时间、修复成本、修复工程的环境影响等因素，制定应急处置方案。</w:t>
      </w:r>
    </w:p>
    <w:p w14:paraId="75257833">
      <w:pPr>
        <w:widowControl/>
        <w:spacing w:line="360" w:lineRule="auto"/>
        <w:ind w:firstLine="480" w:firstLineChars="200"/>
        <w:rPr>
          <w:sz w:val="24"/>
        </w:rPr>
      </w:pPr>
      <w:r>
        <w:rPr>
          <w:rFonts w:hint="eastAsia"/>
          <w:sz w:val="24"/>
        </w:rPr>
        <w:t>可行性原则：制定的地块土壤应急处置方案要合理可行，要在前期工作的基础上，针对地块的污染性质、程度、范围以及对人体健康造或生态环境造成的危害，合理选择土壤修复技术，因地制宜制定应急处置方案，使修复目标可达，且修复工程切实可行。</w:t>
      </w:r>
    </w:p>
    <w:p w14:paraId="39812D38">
      <w:pPr>
        <w:pStyle w:val="2"/>
        <w:adjustRightInd w:val="0"/>
        <w:snapToGrid w:val="0"/>
        <w:spacing w:line="360" w:lineRule="auto"/>
        <w:rPr>
          <w:sz w:val="24"/>
          <w:szCs w:val="24"/>
          <w:lang w:val="zh-CN"/>
        </w:rPr>
      </w:pPr>
      <w:bookmarkStart w:id="15" w:name="_Toc133245293"/>
      <w:r>
        <w:rPr>
          <w:sz w:val="24"/>
          <w:szCs w:val="24"/>
          <w:lang w:val="zh-CN"/>
        </w:rPr>
        <w:t>6 主要技术内容及说明</w:t>
      </w:r>
      <w:bookmarkEnd w:id="15"/>
    </w:p>
    <w:p w14:paraId="2BB09E61">
      <w:pPr>
        <w:pStyle w:val="3"/>
        <w:spacing w:line="360" w:lineRule="auto"/>
        <w:rPr>
          <w:rFonts w:ascii="Times New Roman" w:hAnsi="Times New Roman" w:eastAsia="宋体" w:cs="Times New Roman"/>
          <w:sz w:val="24"/>
          <w:szCs w:val="24"/>
        </w:rPr>
      </w:pPr>
      <w:bookmarkStart w:id="16" w:name="_Toc133245294"/>
      <w:r>
        <w:rPr>
          <w:rFonts w:ascii="Times New Roman" w:hAnsi="Times New Roman" w:eastAsia="宋体" w:cs="Times New Roman"/>
          <w:sz w:val="24"/>
          <w:szCs w:val="24"/>
        </w:rPr>
        <w:t xml:space="preserve">6.1 </w:t>
      </w:r>
      <w:r>
        <w:rPr>
          <w:rFonts w:hint="eastAsia" w:ascii="Times New Roman" w:hAnsi="Times New Roman" w:eastAsia="宋体" w:cs="Times New Roman"/>
          <w:sz w:val="24"/>
          <w:szCs w:val="24"/>
        </w:rPr>
        <w:t>前期应急处置</w:t>
      </w:r>
      <w:bookmarkEnd w:id="16"/>
    </w:p>
    <w:p w14:paraId="31B8AB55">
      <w:pPr>
        <w:pStyle w:val="4"/>
        <w:spacing w:line="360" w:lineRule="auto"/>
        <w:rPr>
          <w:sz w:val="24"/>
          <w:szCs w:val="24"/>
        </w:rPr>
      </w:pPr>
      <w:bookmarkStart w:id="17" w:name="_Toc133245295"/>
      <w:r>
        <w:rPr>
          <w:sz w:val="24"/>
          <w:szCs w:val="24"/>
        </w:rPr>
        <w:t>6.1.</w:t>
      </w:r>
      <w:r>
        <w:rPr>
          <w:rFonts w:hint="eastAsia"/>
          <w:sz w:val="24"/>
          <w:szCs w:val="24"/>
        </w:rPr>
        <w:t>1</w:t>
      </w:r>
      <w:r>
        <w:rPr>
          <w:sz w:val="24"/>
          <w:szCs w:val="24"/>
        </w:rPr>
        <w:t xml:space="preserve"> </w:t>
      </w:r>
      <w:r>
        <w:rPr>
          <w:rFonts w:hint="eastAsia"/>
          <w:sz w:val="24"/>
          <w:szCs w:val="24"/>
        </w:rPr>
        <w:t>响应启动</w:t>
      </w:r>
      <w:bookmarkEnd w:id="17"/>
    </w:p>
    <w:p w14:paraId="1491A948">
      <w:pPr>
        <w:spacing w:line="360" w:lineRule="auto"/>
        <w:ind w:firstLine="480" w:firstLineChars="200"/>
        <w:rPr>
          <w:sz w:val="24"/>
        </w:rPr>
      </w:pPr>
      <w:r>
        <w:rPr>
          <w:rFonts w:hint="eastAsia"/>
          <w:sz w:val="24"/>
        </w:rPr>
        <w:t>根据突发土壤环境污染事件及其引发的次生、衍生灾害的严重程度、影响范围和发展态势等，按照突发环境污染事件应急预案，启动应急响应，并向上级主管部门报告。</w:t>
      </w:r>
    </w:p>
    <w:p w14:paraId="3317FAFC">
      <w:pPr>
        <w:spacing w:line="360" w:lineRule="auto"/>
        <w:ind w:firstLine="480" w:firstLineChars="200"/>
        <w:rPr>
          <w:sz w:val="24"/>
        </w:rPr>
      </w:pPr>
      <w:r>
        <w:rPr>
          <w:rFonts w:hint="eastAsia"/>
          <w:sz w:val="24"/>
        </w:rPr>
        <w:t>（一）特别重大突发土壤环境污染事件</w:t>
      </w:r>
    </w:p>
    <w:p w14:paraId="3A04687E">
      <w:pPr>
        <w:spacing w:line="360" w:lineRule="auto"/>
        <w:ind w:firstLine="480" w:firstLineChars="200"/>
        <w:rPr>
          <w:sz w:val="24"/>
        </w:rPr>
      </w:pPr>
      <w:r>
        <w:rPr>
          <w:rFonts w:hint="eastAsia"/>
          <w:sz w:val="24"/>
        </w:rPr>
        <w:t>凡符合下列情形之一的，为特别重大突发土壤环境污染事件：</w:t>
      </w:r>
    </w:p>
    <w:p w14:paraId="56298689">
      <w:pPr>
        <w:spacing w:line="360" w:lineRule="auto"/>
        <w:ind w:firstLine="480" w:firstLineChars="200"/>
        <w:rPr>
          <w:sz w:val="24"/>
        </w:rPr>
      </w:pPr>
      <w:r>
        <w:rPr>
          <w:rFonts w:hint="eastAsia"/>
          <w:sz w:val="24"/>
        </w:rPr>
        <w:t>（1）因违法偷排污水、污水灌溉、交通运输事故、企业安全事故、污水或固体废物处置不当、非法转移、倾倒等导致土壤环境污染，造成直接经济损失1亿元以上的；</w:t>
      </w:r>
    </w:p>
    <w:p w14:paraId="121B0AAB">
      <w:pPr>
        <w:spacing w:line="360" w:lineRule="auto"/>
        <w:ind w:firstLine="480" w:firstLineChars="200"/>
        <w:rPr>
          <w:sz w:val="24"/>
        </w:rPr>
      </w:pPr>
      <w:r>
        <w:rPr>
          <w:rFonts w:hint="eastAsia"/>
          <w:sz w:val="24"/>
        </w:rPr>
        <w:t>（2）因违法偷排污水、污水灌溉、交通运输事故、企业安全事故、污水或固体废物处置不当、非法转移、倾倒等造成区域生态功能严重丧失或该区域国家重点保护物种灭绝的；</w:t>
      </w:r>
    </w:p>
    <w:p w14:paraId="3274EDE1">
      <w:pPr>
        <w:spacing w:line="360" w:lineRule="auto"/>
        <w:ind w:firstLine="480" w:firstLineChars="200"/>
        <w:rPr>
          <w:sz w:val="24"/>
        </w:rPr>
      </w:pPr>
      <w:r>
        <w:rPr>
          <w:rFonts w:hint="eastAsia"/>
          <w:sz w:val="24"/>
        </w:rPr>
        <w:t>（3）因违法偷排污水、污水灌溉、交通运输事故、企业安全事故、污水或固体废物处置不当、非法转移、倾倒等导致土壤环境污染，直接或间接造成地级以上市集中式饮用水水源地取水中断的。</w:t>
      </w:r>
    </w:p>
    <w:p w14:paraId="4AD6AD93">
      <w:pPr>
        <w:spacing w:line="360" w:lineRule="auto"/>
        <w:ind w:firstLine="480" w:firstLineChars="200"/>
        <w:rPr>
          <w:sz w:val="24"/>
        </w:rPr>
      </w:pPr>
      <w:r>
        <w:rPr>
          <w:rFonts w:hint="eastAsia"/>
          <w:sz w:val="24"/>
        </w:rPr>
        <w:t>（二）重大突发土壤环境污染事件</w:t>
      </w:r>
    </w:p>
    <w:p w14:paraId="28CDBC44">
      <w:pPr>
        <w:spacing w:line="360" w:lineRule="auto"/>
        <w:ind w:firstLine="480" w:firstLineChars="200"/>
        <w:rPr>
          <w:sz w:val="24"/>
        </w:rPr>
      </w:pPr>
      <w:r>
        <w:rPr>
          <w:rFonts w:hint="eastAsia"/>
          <w:sz w:val="24"/>
        </w:rPr>
        <w:t>凡符合下列情况之一的，为重大突发土壤环境污染事件：</w:t>
      </w:r>
    </w:p>
    <w:p w14:paraId="77BC4AB3">
      <w:pPr>
        <w:spacing w:line="360" w:lineRule="auto"/>
        <w:ind w:firstLine="480" w:firstLineChars="200"/>
        <w:rPr>
          <w:sz w:val="24"/>
        </w:rPr>
      </w:pPr>
      <w:r>
        <w:rPr>
          <w:rFonts w:hint="eastAsia"/>
          <w:sz w:val="24"/>
        </w:rPr>
        <w:t>（1）因违法偷排污水、污水灌溉、交通运输事故、企业安全事故、污水或固体废物处置不当、非法转移、倾倒等导致土壤环境污染，造成直接经济损失2000万元以上1亿元以下的；</w:t>
      </w:r>
    </w:p>
    <w:p w14:paraId="0D8AB89B">
      <w:pPr>
        <w:spacing w:line="360" w:lineRule="auto"/>
        <w:ind w:firstLine="480" w:firstLineChars="200"/>
        <w:rPr>
          <w:sz w:val="24"/>
        </w:rPr>
      </w:pPr>
      <w:r>
        <w:rPr>
          <w:rFonts w:hint="eastAsia"/>
          <w:sz w:val="24"/>
        </w:rPr>
        <w:t>（2）因违法偷排污水、污水灌溉、交通运输事故、企业安全事故、污水或固体废物处置不当、非法转移、倾倒等导致土壤环境污染，并造成区域生态功能部分丧失或该区域国家重点保护野生动植物种群大批死亡的；</w:t>
      </w:r>
    </w:p>
    <w:p w14:paraId="1DD8C44A">
      <w:pPr>
        <w:spacing w:line="360" w:lineRule="auto"/>
        <w:ind w:firstLine="480" w:firstLineChars="200"/>
        <w:rPr>
          <w:sz w:val="24"/>
        </w:rPr>
      </w:pPr>
      <w:r>
        <w:rPr>
          <w:rFonts w:hint="eastAsia"/>
          <w:sz w:val="24"/>
        </w:rPr>
        <w:t>（3）因违法偷排污水、污水灌溉、交通运输事故、企业安全事故、污水或固体废物处置不当、非法转移、倾倒等导致土壤环境污染，直接或间接造成县级城市集中式饮用水水源地取水中断的。</w:t>
      </w:r>
    </w:p>
    <w:p w14:paraId="1FEF0448">
      <w:pPr>
        <w:spacing w:line="360" w:lineRule="auto"/>
        <w:ind w:firstLine="480" w:firstLineChars="200"/>
        <w:rPr>
          <w:sz w:val="24"/>
        </w:rPr>
      </w:pPr>
      <w:r>
        <w:rPr>
          <w:rFonts w:hint="eastAsia"/>
          <w:sz w:val="24"/>
        </w:rPr>
        <w:t>（三）较大突发土壤环境污染事件</w:t>
      </w:r>
    </w:p>
    <w:p w14:paraId="2F83F6E1">
      <w:pPr>
        <w:spacing w:line="360" w:lineRule="auto"/>
        <w:ind w:firstLine="480" w:firstLineChars="200"/>
        <w:rPr>
          <w:sz w:val="24"/>
        </w:rPr>
      </w:pPr>
      <w:r>
        <w:rPr>
          <w:rFonts w:hint="eastAsia"/>
          <w:sz w:val="24"/>
        </w:rPr>
        <w:t>凡符合下列情形之一的，为较大突发土壤环境污染事件：</w:t>
      </w:r>
    </w:p>
    <w:p w14:paraId="74A2DC78">
      <w:pPr>
        <w:spacing w:line="360" w:lineRule="auto"/>
        <w:ind w:firstLine="480" w:firstLineChars="200"/>
        <w:rPr>
          <w:sz w:val="24"/>
        </w:rPr>
      </w:pPr>
      <w:r>
        <w:rPr>
          <w:rFonts w:hint="eastAsia"/>
          <w:sz w:val="24"/>
        </w:rPr>
        <w:t>（1）因违法偷排污水、污水灌溉、交通运输事故、企业安全事故、污水或固体废物处置不当、非法转移、倾倒等导致土壤环境污染，造成直接经济损失500万元以上2000万元以下的；</w:t>
      </w:r>
    </w:p>
    <w:p w14:paraId="26F0D36B">
      <w:pPr>
        <w:spacing w:line="360" w:lineRule="auto"/>
        <w:ind w:firstLine="480" w:firstLineChars="200"/>
        <w:rPr>
          <w:sz w:val="24"/>
        </w:rPr>
      </w:pPr>
      <w:r>
        <w:rPr>
          <w:rFonts w:hint="eastAsia"/>
          <w:sz w:val="24"/>
        </w:rPr>
        <w:t>（2）因违法偷排污水、污水灌溉、交通运输事故、企业安全事故、污水或固体废物处置不当、非法转移、倾倒等导致土壤环境污染，并造成国家重点保护的动植物物种受到破坏的；</w:t>
      </w:r>
    </w:p>
    <w:p w14:paraId="7FEB7207">
      <w:pPr>
        <w:spacing w:line="360" w:lineRule="auto"/>
        <w:ind w:firstLine="480" w:firstLineChars="200"/>
        <w:rPr>
          <w:sz w:val="24"/>
        </w:rPr>
      </w:pPr>
      <w:r>
        <w:rPr>
          <w:rFonts w:hint="eastAsia"/>
          <w:sz w:val="24"/>
        </w:rPr>
        <w:t>（3）因违法偷排污水、污水灌溉、交通运输事故、企业安全事故、污水或固体废物处置不当、非法转移、倾倒等导致土壤环境污染，直接或间接造成乡镇集中式饮用水水源地取水中断的。</w:t>
      </w:r>
    </w:p>
    <w:p w14:paraId="068285A9">
      <w:pPr>
        <w:spacing w:line="360" w:lineRule="auto"/>
        <w:ind w:firstLine="480" w:firstLineChars="200"/>
        <w:rPr>
          <w:sz w:val="24"/>
        </w:rPr>
      </w:pPr>
      <w:r>
        <w:rPr>
          <w:rFonts w:hint="eastAsia"/>
          <w:sz w:val="24"/>
        </w:rPr>
        <w:t>（四）一般突发土壤环境污染事件</w:t>
      </w:r>
    </w:p>
    <w:p w14:paraId="584E5579">
      <w:pPr>
        <w:spacing w:line="360" w:lineRule="auto"/>
        <w:ind w:firstLine="480" w:firstLineChars="200"/>
        <w:rPr>
          <w:sz w:val="24"/>
        </w:rPr>
      </w:pPr>
      <w:r>
        <w:rPr>
          <w:rFonts w:hint="eastAsia"/>
          <w:sz w:val="24"/>
        </w:rPr>
        <w:t>凡符合下列情形之一的，为一般突发土壤环境污染事件：</w:t>
      </w:r>
    </w:p>
    <w:p w14:paraId="5031DBD2">
      <w:pPr>
        <w:spacing w:line="360" w:lineRule="auto"/>
        <w:ind w:firstLine="480" w:firstLineChars="200"/>
        <w:rPr>
          <w:sz w:val="24"/>
        </w:rPr>
      </w:pPr>
      <w:r>
        <w:rPr>
          <w:rFonts w:hint="eastAsia"/>
          <w:sz w:val="24"/>
        </w:rPr>
        <w:t>（1）因违法偷排污水、污水灌溉、交通运输事故、企业安全事故、污水或固体废物处置不当、非法转移、倾倒等导致土壤环境污染，造成直接经济损失500万元以下的；</w:t>
      </w:r>
    </w:p>
    <w:p w14:paraId="23CAF177">
      <w:pPr>
        <w:spacing w:line="360" w:lineRule="auto"/>
        <w:ind w:firstLine="480" w:firstLineChars="200"/>
        <w:rPr>
          <w:sz w:val="24"/>
        </w:rPr>
      </w:pPr>
      <w:r>
        <w:rPr>
          <w:rFonts w:hint="eastAsia"/>
          <w:sz w:val="24"/>
        </w:rPr>
        <w:t>（2）因违法偷排污水、交通运输事故、企业安全事故、污水或固体废物处置不当、非法转移、倾倒等导致土壤环境污染，并造成跨县级行政区域纠纷，引起一般性群体影响的；</w:t>
      </w:r>
    </w:p>
    <w:p w14:paraId="3B9E2478">
      <w:pPr>
        <w:spacing w:line="360" w:lineRule="auto"/>
        <w:ind w:firstLine="480" w:firstLineChars="200"/>
        <w:rPr>
          <w:sz w:val="24"/>
        </w:rPr>
      </w:pPr>
      <w:r>
        <w:rPr>
          <w:rFonts w:hint="eastAsia"/>
          <w:sz w:val="24"/>
        </w:rPr>
        <w:t>（3）因土壤环境污染对环境造成一定影响，尚未达到较大突发环境事件级别的。</w:t>
      </w:r>
    </w:p>
    <w:p w14:paraId="3CE9D8F3">
      <w:pPr>
        <w:spacing w:line="360" w:lineRule="auto"/>
        <w:ind w:firstLine="480" w:firstLineChars="200"/>
        <w:rPr>
          <w:sz w:val="24"/>
        </w:rPr>
      </w:pPr>
      <w:r>
        <w:rPr>
          <w:rFonts w:hint="eastAsia"/>
          <w:sz w:val="24"/>
        </w:rPr>
        <w:t>上述分级标准有关数量的表述中，“以上”含本数，“以下”不含本数，事件分级依据参见《国家突发环境事件应急预案》相应内容。</w:t>
      </w:r>
    </w:p>
    <w:p w14:paraId="7234B572">
      <w:pPr>
        <w:pStyle w:val="4"/>
        <w:spacing w:line="360" w:lineRule="auto"/>
        <w:rPr>
          <w:sz w:val="24"/>
          <w:szCs w:val="24"/>
        </w:rPr>
      </w:pPr>
      <w:bookmarkStart w:id="18" w:name="_Toc133245296"/>
      <w:r>
        <w:rPr>
          <w:sz w:val="24"/>
          <w:szCs w:val="24"/>
        </w:rPr>
        <w:t xml:space="preserve">6.1.2 </w:t>
      </w:r>
      <w:r>
        <w:rPr>
          <w:rFonts w:hint="eastAsia"/>
          <w:sz w:val="24"/>
          <w:szCs w:val="24"/>
        </w:rPr>
        <w:t>响应措施</w:t>
      </w:r>
      <w:bookmarkEnd w:id="18"/>
    </w:p>
    <w:p w14:paraId="6B21C814">
      <w:pPr>
        <w:spacing w:line="360" w:lineRule="auto"/>
        <w:ind w:firstLine="480" w:firstLineChars="200"/>
        <w:rPr>
          <w:sz w:val="24"/>
        </w:rPr>
      </w:pPr>
      <w:r>
        <w:rPr>
          <w:rFonts w:hint="eastAsia"/>
          <w:sz w:val="24"/>
        </w:rPr>
        <w:t>突发土壤环境污染事件发生后，园区涉事企事业单位或其他生产经营者要立即组织力量进行先期处置，根据事件严重程度和污染物性质，采取必要的封堵、围挡、喷淋、吸附、转移等措施，迅速切断和控制污染源，防止污染蔓延扩散。做好有毒有害物质和消防废水、废液等收集、清理和安全处置工作。</w:t>
      </w:r>
    </w:p>
    <w:p w14:paraId="0A05963D">
      <w:pPr>
        <w:spacing w:line="360" w:lineRule="auto"/>
        <w:ind w:firstLine="480" w:firstLineChars="200"/>
        <w:rPr>
          <w:sz w:val="24"/>
        </w:rPr>
      </w:pPr>
      <w:r>
        <w:rPr>
          <w:rFonts w:hint="eastAsia"/>
          <w:sz w:val="24"/>
        </w:rPr>
        <w:t>园区涉事企事业单位或其他生产经营者负责组织制订并实施污染处置工作方案，主要针对污水处置不当、转移倾倒导致土壤污染；固体废物处置不当、转移倾倒导致土壤污染等2类情景分别制定现场处置措施，具体措施可参考附录1。</w:t>
      </w:r>
    </w:p>
    <w:p w14:paraId="13615617">
      <w:pPr>
        <w:spacing w:line="360" w:lineRule="auto"/>
        <w:ind w:firstLine="480" w:firstLineChars="200"/>
        <w:rPr>
          <w:sz w:val="24"/>
        </w:rPr>
      </w:pPr>
      <w:r>
        <w:rPr>
          <w:rFonts w:hint="eastAsia"/>
          <w:sz w:val="24"/>
        </w:rPr>
        <w:t>园区涉事企事业单位或其他生产经营者根据突发土壤环境污染事件影响及事发当地的气象、地理环境、人员密集度等，研判是否需要转移安置人员。建立现场警戒区、交通管制区域和重点防护区域，确定受威胁人员疏散的方式和途径，有组织、有秩序地及时疏散转移受威胁人员和可能受影响地区居民。</w:t>
      </w:r>
    </w:p>
    <w:p w14:paraId="18305F1D">
      <w:pPr>
        <w:spacing w:line="360" w:lineRule="auto"/>
        <w:ind w:firstLine="482" w:firstLineChars="200"/>
        <w:jc w:val="center"/>
        <w:rPr>
          <w:b/>
          <w:bCs/>
          <w:sz w:val="24"/>
        </w:rPr>
      </w:pPr>
      <w:r>
        <w:rPr>
          <w:rFonts w:hint="eastAsia"/>
          <w:b/>
          <w:bCs/>
          <w:sz w:val="24"/>
        </w:rPr>
        <w:t>表</w:t>
      </w:r>
      <w:r>
        <w:rPr>
          <w:b/>
          <w:bCs/>
          <w:sz w:val="24"/>
        </w:rPr>
        <w:t xml:space="preserve">2 </w:t>
      </w:r>
      <w:r>
        <w:rPr>
          <w:rFonts w:hint="eastAsia"/>
          <w:b/>
          <w:bCs/>
          <w:sz w:val="24"/>
        </w:rPr>
        <w:t>事发现场应急响应措施</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7058"/>
      </w:tblGrid>
      <w:tr w14:paraId="11E4D9FD">
        <w:trPr>
          <w:trHeight w:val="543" w:hRule="atLeast"/>
          <w:tblHeader/>
          <w:jc w:val="center"/>
        </w:trPr>
        <w:tc>
          <w:tcPr>
            <w:tcW w:w="859" w:type="pct"/>
            <w:vAlign w:val="center"/>
          </w:tcPr>
          <w:p w14:paraId="12BD9C34">
            <w:pPr>
              <w:spacing w:line="320" w:lineRule="exact"/>
              <w:jc w:val="center"/>
              <w:rPr>
                <w:rFonts w:ascii="黑体" w:hAnsi="黑体" w:eastAsia="黑体"/>
                <w:bCs/>
                <w:color w:val="000000"/>
                <w:kern w:val="21"/>
                <w:sz w:val="18"/>
                <w:szCs w:val="18"/>
              </w:rPr>
            </w:pPr>
            <w:r>
              <w:rPr>
                <w:rFonts w:ascii="黑体" w:hAnsi="黑体" w:eastAsia="黑体"/>
                <w:bCs/>
                <w:color w:val="000000"/>
                <w:kern w:val="21"/>
                <w:sz w:val="18"/>
                <w:szCs w:val="18"/>
              </w:rPr>
              <w:t>事故情景</w:t>
            </w:r>
          </w:p>
        </w:tc>
        <w:tc>
          <w:tcPr>
            <w:tcW w:w="4141" w:type="pct"/>
            <w:vAlign w:val="center"/>
          </w:tcPr>
          <w:p w14:paraId="0F1E2101">
            <w:pPr>
              <w:spacing w:line="320" w:lineRule="exact"/>
              <w:jc w:val="center"/>
              <w:rPr>
                <w:rFonts w:ascii="黑体" w:hAnsi="黑体" w:eastAsia="黑体"/>
                <w:bCs/>
                <w:color w:val="000000"/>
                <w:kern w:val="21"/>
                <w:sz w:val="18"/>
                <w:szCs w:val="18"/>
              </w:rPr>
            </w:pPr>
            <w:r>
              <w:rPr>
                <w:rFonts w:ascii="黑体" w:hAnsi="黑体" w:eastAsia="黑体"/>
                <w:bCs/>
                <w:color w:val="000000"/>
                <w:kern w:val="21"/>
                <w:sz w:val="18"/>
                <w:szCs w:val="18"/>
              </w:rPr>
              <w:t>主要应急处置措施</w:t>
            </w:r>
          </w:p>
        </w:tc>
      </w:tr>
      <w:tr w14:paraId="5640B962">
        <w:trPr>
          <w:trHeight w:val="306" w:hRule="atLeast"/>
          <w:jc w:val="center"/>
        </w:trPr>
        <w:tc>
          <w:tcPr>
            <w:tcW w:w="859" w:type="pct"/>
            <w:vAlign w:val="center"/>
          </w:tcPr>
          <w:p w14:paraId="138B8259">
            <w:pPr>
              <w:spacing w:line="320" w:lineRule="exact"/>
              <w:rPr>
                <w:rFonts w:ascii="宋体" w:hAnsi="宋体"/>
                <w:color w:val="000000"/>
                <w:sz w:val="18"/>
                <w:szCs w:val="18"/>
              </w:rPr>
            </w:pPr>
            <w:r>
              <w:rPr>
                <w:rFonts w:ascii="宋体" w:hAnsi="宋体"/>
                <w:color w:val="000000"/>
                <w:sz w:val="18"/>
                <w:szCs w:val="18"/>
              </w:rPr>
              <w:t>污水处置不当、转移、倾倒等引起土壤大面积污染</w:t>
            </w:r>
          </w:p>
        </w:tc>
        <w:tc>
          <w:tcPr>
            <w:tcW w:w="4141" w:type="pct"/>
            <w:vAlign w:val="center"/>
          </w:tcPr>
          <w:p w14:paraId="6A145617">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（1）污染源排查组迅速展开调查，对事发地土壤污染事件原因、土壤的污染物因子、污染物污染土壤的位置等情况进行排查。</w:t>
            </w:r>
          </w:p>
          <w:p w14:paraId="29378E51">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（2）启动内部突发环境事件应急预案，采取必要的堵漏、围挡、截污等措施，封闭雨水污水排口，修筑围堰，切断和控制污染源，防止污染继续蔓延扩散。</w:t>
            </w:r>
          </w:p>
          <w:p w14:paraId="535B8AB9">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（3）组织专家进行分析研判，分析污水导致土壤污染面积、污染情况，是否对周边饮用水源产生影响等，根据现场情况制定应急处置、污染清除等应急措施。</w:t>
            </w:r>
          </w:p>
          <w:p w14:paraId="79E5B81D">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（4）邀请具体相应资质的单位开展损害评估。现场工作组做好证据保全，妥善保护事故现场，如需现场清理，应当做好拍照、录像等证据保全工作。</w:t>
            </w:r>
          </w:p>
          <w:p w14:paraId="7CD539BA">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5）属性鉴别。委托相关的危险废物鉴别专家，采取现场经验鉴别、或通过便携式检测仪鉴别、或通过采样进行实验分析，鉴别出污染土壤表层废水的属性特征。若废水属于危险废物，则应当鉴别危险废物的理化性质，确定危险废物是否属于腐蚀性、毒性、易燃性、反应性及感染性等一种或多种理化性质，以便于很好的开展应急处置工作。</w:t>
            </w:r>
          </w:p>
          <w:p w14:paraId="1B1484E4">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6）根据土壤表层废水的属性鉴别结果，前往现场开展应急处置工作。根据污染物质的性质，首先应当通知具备相应资质的处置单位前往现场将土壤表层的废水运走处置，特殊情况下（雨季期间）应当对受污染的土壤进行覆盖，防止受雨水冲刷造成渗滤液泄漏，同时应当设置堵漏、围挡、截污等措施，避免土壤含有的渗滤液排入周边水体及农田；后续开展土壤应急监测，根据土壤应急监测结果采用相应的土壤修复工作。</w:t>
            </w:r>
          </w:p>
          <w:p w14:paraId="7D3ADD17">
            <w:pPr>
              <w:spacing w:line="320" w:lineRule="exact"/>
              <w:ind w:firstLine="360" w:firstLineChars="200"/>
              <w:rPr>
                <w:rFonts w:ascii="宋体" w:hAnsi="宋体"/>
                <w:b/>
                <w:color w:val="000000"/>
                <w:sz w:val="18"/>
                <w:szCs w:val="18"/>
              </w:rPr>
            </w:pPr>
            <w:r>
              <w:rPr>
                <w:rFonts w:ascii="宋体" w:hAnsi="宋体"/>
                <w:bCs/>
                <w:color w:val="000000"/>
                <w:kern w:val="0"/>
                <w:sz w:val="18"/>
                <w:szCs w:val="18"/>
              </w:rPr>
              <w:t>（7）应急监测组前往现场开展应急监测工作。按照《突发环境事件应急监测技术规范》（HJ589-20</w:t>
            </w:r>
            <w:r>
              <w:rPr>
                <w:rFonts w:hint="eastAsia" w:ascii="宋体" w:hAnsi="宋体"/>
                <w:bCs/>
                <w:color w:val="000000"/>
                <w:kern w:val="0"/>
                <w:sz w:val="18"/>
                <w:szCs w:val="18"/>
              </w:rPr>
              <w:t>21</w:t>
            </w:r>
            <w:r>
              <w:rPr>
                <w:rFonts w:ascii="宋体" w:hAnsi="宋体"/>
                <w:bCs/>
                <w:color w:val="000000"/>
                <w:kern w:val="0"/>
                <w:sz w:val="18"/>
                <w:szCs w:val="18"/>
              </w:rPr>
              <w:t>）、《</w:t>
            </w:r>
            <w:r>
              <w:fldChar w:fldCharType="begin"/>
            </w:r>
            <w:r>
              <w:instrText xml:space="preserve"> HYPERLINK "http://www.mee.gov.cn/ywgz/fgbz/bz/bzwb/jcffbz/201912/t20191224_749891.shtml" </w:instrText>
            </w:r>
            <w:r>
              <w:fldChar w:fldCharType="separate"/>
            </w:r>
            <w:r>
              <w:rPr>
                <w:rFonts w:ascii="宋体" w:hAnsi="宋体"/>
                <w:bCs/>
                <w:color w:val="000000"/>
                <w:kern w:val="0"/>
                <w:sz w:val="18"/>
                <w:szCs w:val="18"/>
              </w:rPr>
              <w:t>建设用地土壤污染风险管控和修复监测技术导则》（HJ25.2-2019）</w:t>
            </w:r>
            <w:r>
              <w:rPr>
                <w:rFonts w:ascii="宋体" w:hAnsi="宋体"/>
                <w:bCs/>
                <w:color w:val="000000"/>
                <w:kern w:val="0"/>
                <w:sz w:val="18"/>
                <w:szCs w:val="18"/>
              </w:rPr>
              <w:fldChar w:fldCharType="end"/>
            </w:r>
            <w:r>
              <w:rPr>
                <w:rFonts w:ascii="宋体" w:hAnsi="宋体"/>
                <w:bCs/>
                <w:color w:val="000000"/>
                <w:kern w:val="0"/>
                <w:sz w:val="18"/>
                <w:szCs w:val="18"/>
              </w:rPr>
              <w:t>等要求开展监测工作，对土壤的监测应以事故地点为中心，按一定间隔的圆形布点采样，并根据污染物的特性在不同深度采样，同时采集对照样品，必要时在事故地附近采集作物样品。具体的监测因子、采样点位由市现场指挥部结合专家评估组根据事件具体情况确定。应急监测期间做好防护措施，如加篷布覆盖防雨、引流沟、围堰、警戒隔离、做好现场保护工作。</w:t>
            </w:r>
          </w:p>
        </w:tc>
      </w:tr>
      <w:tr w14:paraId="0AD6B431">
        <w:trPr>
          <w:trHeight w:val="306" w:hRule="atLeast"/>
          <w:jc w:val="center"/>
        </w:trPr>
        <w:tc>
          <w:tcPr>
            <w:tcW w:w="859" w:type="pct"/>
            <w:vAlign w:val="center"/>
          </w:tcPr>
          <w:p w14:paraId="0C14D286">
            <w:pPr>
              <w:spacing w:line="320" w:lineRule="exact"/>
              <w:rPr>
                <w:rFonts w:ascii="宋体" w:hAnsi="宋体"/>
                <w:color w:val="000000"/>
                <w:sz w:val="18"/>
                <w:szCs w:val="18"/>
              </w:rPr>
            </w:pPr>
            <w:r>
              <w:rPr>
                <w:rFonts w:ascii="宋体" w:hAnsi="宋体"/>
                <w:color w:val="000000"/>
                <w:sz w:val="18"/>
                <w:szCs w:val="18"/>
              </w:rPr>
              <w:t>固体废物处置不当、转移、倾倒等引发土壤环境污染</w:t>
            </w:r>
          </w:p>
        </w:tc>
        <w:tc>
          <w:tcPr>
            <w:tcW w:w="4141" w:type="pct"/>
            <w:vAlign w:val="center"/>
          </w:tcPr>
          <w:p w14:paraId="15DD2411">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（1）迅速展开调查，查清固体废物转移及倾倒的位置、固体废物类别、毒理性、倾倒量及环境污染范围。做好处置全过程的记录（拍照、文字）、根据倾倒数量确定采样数量。</w:t>
            </w:r>
          </w:p>
          <w:p w14:paraId="5FBD5B4B">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（2）启动内部突发环境事件应急预案，采取必要的堵漏、围挡、截污等措施，控制住固体废物，避免其渗滤液排入周边水体和农田。</w:t>
            </w:r>
          </w:p>
          <w:p w14:paraId="7E643225">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（3）组织专家进行分析研判，根据描述情况判定事件级别、预警级别及提出应急处置技术方案建议，上报</w:t>
            </w:r>
            <w:r>
              <w:rPr>
                <w:rFonts w:hint="eastAsia" w:ascii="宋体" w:hAnsi="宋体"/>
                <w:bCs/>
                <w:color w:val="000000"/>
                <w:kern w:val="0"/>
                <w:sz w:val="18"/>
                <w:szCs w:val="18"/>
              </w:rPr>
              <w:t>上级生态环境管理部门</w:t>
            </w:r>
            <w:r>
              <w:rPr>
                <w:rFonts w:ascii="宋体" w:hAnsi="宋体"/>
                <w:bCs/>
                <w:color w:val="000000"/>
                <w:kern w:val="0"/>
                <w:sz w:val="18"/>
                <w:szCs w:val="18"/>
              </w:rPr>
              <w:t>。</w:t>
            </w:r>
          </w:p>
          <w:p w14:paraId="64E4B6D7">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（4）封锁固体废物可能污染的农田或水体等区域，对倾倒的固体废物进行管理</w:t>
            </w:r>
            <w:r>
              <w:rPr>
                <w:rFonts w:hint="eastAsia" w:ascii="宋体" w:hAnsi="宋体"/>
                <w:bCs/>
                <w:color w:val="000000"/>
                <w:kern w:val="0"/>
                <w:sz w:val="18"/>
                <w:szCs w:val="18"/>
              </w:rPr>
              <w:t>。</w:t>
            </w:r>
          </w:p>
          <w:p w14:paraId="35474A9F">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（5）邀请具备相应资质的单位开展损害评估，做好证据保全，妥善保护事故现场，如需现场清理，应当做好拍照、录像等证据保全工作。</w:t>
            </w:r>
          </w:p>
          <w:p w14:paraId="0B067A8D">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6）委托相关的危险废物鉴别专家，采取现场经验鉴别、或通过便携式检测仪鉴别、或通过采样进行实验分析，鉴别出固体废物是否属于危险废物。若属于危险废物，则应当鉴别危险废物的理化性质，确定危险废物是否属于腐蚀性、毒性、易燃性、反应性及感染性等一种或多种理化性质。</w:t>
            </w:r>
          </w:p>
          <w:p w14:paraId="12981CF6">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7）一般固体废物现场污染处置。在固体废物堆放处周围修筑环形堤进行围堵，用雾状水喷淋减少恶臭气体扩散，盖以塑料膜避免雨淋，防止渗滤液排入周边水体及管网中，通知相应固体废物处置单位到现场运走处置。固体废物应采取密闭运输，控制运输环节二次污染，处置完毕后用雾状水喷淋，并处置残留物，降低环境污染及减少蚊虫滋生风险。应急处置期间设置雨水收集池、防护棚等应急设施。</w:t>
            </w:r>
          </w:p>
          <w:p w14:paraId="709BC382">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（8）危险废物现场污染处置。根据泄漏的危险废物腐蚀性、毒性、易燃性、反应性及感染性等化学性质，实施拦截、收集、稀释、中和等措施进行处理，主要分为几类：</w:t>
            </w:r>
          </w:p>
          <w:p w14:paraId="22A850A2">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1）腐蚀性危险废物处置：应急处置人员应戴防毒面具，穿耐酸碱工作服；用水、砂土扑救，防止危险废物遇水产生飞溅，造成灼伤；用泡沫、雾状水喷淋覆盖抑制挥发性气体的产生。对危险废物进行围堵、收集，并通知危险废物处置企业到现场收集处置。</w:t>
            </w:r>
          </w:p>
          <w:p w14:paraId="2E2A1AD0">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2）毒性危险废物处置：应急处置人员应佩戴防毒面具，在保证安全的情况下收集毁损容器或泄漏物；必要时用泡沫、抗醇泡沫喷淋覆盖、抑制有毒气体产生；喷雾状水抑制、改变有毒气体流向；禁止喷水处理泄漏物或将水喷入危险废物容器或堆放处，防止泄漏物进入水体、周边农田。</w:t>
            </w:r>
          </w:p>
          <w:p w14:paraId="20536DBD">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3）易燃性危险废物处置：小量泄漏时，进行围堵，通知危险废物处置企业到现场收集处置。大量泄漏时，进行围堵、收集，防止二次事故的发生。若该类危险废物遇火源发生火灾时，可用泡沫、干粉扑救、砂土扑救。尽量避免用消防水扑救，鉴于部分危险废物（比如废矿物油）密度比水小，当用水扑救时，可能造成易燃性危险废物浮在水面上随水流淌而扩大火灾。若泄漏物是四散而流，则在泄漏点周围挖掘环型沟槽，然后收集、转移。</w:t>
            </w:r>
          </w:p>
          <w:p w14:paraId="3BA5ACC6">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4）反应性危险废物处置：应急处置人员应佩戴防毒面具，禁止触及毁损容器或泄漏物。小量泄漏时，用干土、干砂或其他不燃材料覆盖后，盖以塑料膜以减少扩散和避免雨淋，通知危险废物处置企业到现场收集处置。大量泄漏时，用干土、干砂或其它不燃性材料覆盖后，盖塑料膜减少扩散和避免雨淋，防止泄漏物进入水体、周边农田。</w:t>
            </w:r>
          </w:p>
          <w:p w14:paraId="5DE1FBD9">
            <w:pPr>
              <w:spacing w:line="320" w:lineRule="exact"/>
              <w:ind w:firstLine="360" w:firstLineChars="200"/>
              <w:rPr>
                <w:rFonts w:ascii="宋体" w:hAnsi="宋体"/>
                <w:bCs/>
                <w:color w:val="000000"/>
                <w:kern w:val="0"/>
                <w:sz w:val="18"/>
                <w:szCs w:val="18"/>
              </w:rPr>
            </w:pPr>
            <w:r>
              <w:rPr>
                <w:rFonts w:ascii="宋体" w:hAnsi="宋体"/>
                <w:bCs/>
                <w:color w:val="000000"/>
                <w:kern w:val="0"/>
                <w:sz w:val="18"/>
                <w:szCs w:val="18"/>
              </w:rPr>
              <w:t>5）感染性危险废物处置：应急处置人员应佩戴防毒面具，避免皮肤接触漏损的物质、或吸入有毒气体，对泄漏品进行封闭处理，防止泄漏物进入水体、周边农田。通知卫生部门或相应应急处置单位运走处置后，对感染性废物污染的区域进行消毒。消毒工作从污染最轻区域向污染最重区域进行，对可能被污染的所有使用过的工具进行消毒。</w:t>
            </w:r>
          </w:p>
          <w:p w14:paraId="41879E75">
            <w:pPr>
              <w:spacing w:line="310" w:lineRule="exact"/>
              <w:ind w:firstLine="360" w:firstLineChars="200"/>
              <w:rPr>
                <w:rFonts w:ascii="宋体" w:hAnsi="宋体"/>
                <w:b/>
                <w:color w:val="000000"/>
                <w:sz w:val="18"/>
                <w:szCs w:val="18"/>
              </w:rPr>
            </w:pPr>
            <w:r>
              <w:rPr>
                <w:rFonts w:ascii="宋体" w:hAnsi="宋体"/>
                <w:bCs/>
                <w:color w:val="000000"/>
                <w:kern w:val="0"/>
                <w:sz w:val="18"/>
                <w:szCs w:val="18"/>
              </w:rPr>
              <w:t>（9）应急监测。应急监测组依据《工业固体废物采样制样技术规范》（HJ/T20-1998）、《危险废物鉴别标准腐蚀性鉴别》（GB5085.1-2007）、《危险废物鉴别标准浸出毒性鉴别》（GB5085.3-2007）、《突发环境事件应急监测技术规范》（HJ589-20</w:t>
            </w:r>
            <w:r>
              <w:rPr>
                <w:rFonts w:hint="eastAsia" w:ascii="宋体" w:hAnsi="宋体"/>
                <w:bCs/>
                <w:color w:val="000000"/>
                <w:kern w:val="0"/>
                <w:sz w:val="18"/>
                <w:szCs w:val="18"/>
              </w:rPr>
              <w:t>21</w:t>
            </w:r>
            <w:r>
              <w:rPr>
                <w:rFonts w:ascii="宋体" w:hAnsi="宋体"/>
                <w:bCs/>
                <w:color w:val="000000"/>
                <w:kern w:val="0"/>
                <w:sz w:val="18"/>
                <w:szCs w:val="18"/>
              </w:rPr>
              <w:t>）等要求开展应急监测，对土壤的监测应以事故地点为中心，按一定间隔的圆形布点采样，主要采样点为危险废物泄漏处可能污染到的农田、土壤及水体等范围。并根据污染物的特性在不同深度采样，同时采集对照样品，必要时在事故地附近采集作物样品。根据危险废物的特性、结合土壤常规监测项目、水质常规监测项目制定具体监测因子，并将监测结果及时上报市现场指挥部。应急监测期间做好防护措施，如加篷布覆盖防雨、引流沟、围堰、警戒隔离、做好现场保护工作。</w:t>
            </w:r>
          </w:p>
        </w:tc>
      </w:tr>
    </w:tbl>
    <w:p w14:paraId="69CB6C6D">
      <w:pPr>
        <w:pStyle w:val="4"/>
        <w:spacing w:line="360" w:lineRule="auto"/>
        <w:rPr>
          <w:sz w:val="24"/>
          <w:szCs w:val="24"/>
        </w:rPr>
      </w:pPr>
      <w:bookmarkStart w:id="19" w:name="_Toc133245297"/>
      <w:r>
        <w:rPr>
          <w:sz w:val="24"/>
          <w:szCs w:val="24"/>
        </w:rPr>
        <w:t xml:space="preserve">6.1.3 </w:t>
      </w:r>
      <w:r>
        <w:rPr>
          <w:rFonts w:hint="eastAsia"/>
          <w:sz w:val="24"/>
          <w:szCs w:val="24"/>
        </w:rPr>
        <w:t>应急监测</w:t>
      </w:r>
      <w:bookmarkEnd w:id="19"/>
    </w:p>
    <w:p w14:paraId="3C0B8D61">
      <w:pPr>
        <w:spacing w:line="360" w:lineRule="auto"/>
        <w:ind w:firstLine="480" w:firstLineChars="200"/>
        <w:rPr>
          <w:sz w:val="24"/>
        </w:rPr>
      </w:pPr>
      <w:r>
        <w:rPr>
          <w:rFonts w:hint="eastAsia"/>
          <w:sz w:val="24"/>
        </w:rPr>
        <w:t>根据突发土壤环境事件污染物的性质、扩散速度和事件发生地的气象、水文和地域特点，按照《突发环境事件应急监测技术规范》（HJ589-2021）、《建设用地土壤污染风险管控和修复监测技术导则》（HJ52.2-2019）、《土壤环境质量农用地土壤污染风险管控标准（试行）》（GB15618-2018）、《土壤环境监测技术规范》（HJ/T166-2004）、《危险废物鉴别标准腐蚀性鉴别》（GB5085.1-2007）、《危险废物鉴别标准浸出毒性鉴别》（GB5085.3-2007）等文件制定环境应急监测方案，确定监测项目、范围和布点，调配应急监测设备、车辆，开展采样和监测，确定污染物扩散的范围和浓度；根据监测结果，综合分析突发土壤环境事件污染变化趋势，并通过专家咨询或讨论的方式，预测并报告突发土壤环境污染事件的发展状况、污染物的变化情况，为突发土壤环境污染事件应急决策提供技术支撑。</w:t>
      </w:r>
    </w:p>
    <w:p w14:paraId="223B9EC7">
      <w:pPr>
        <w:pStyle w:val="4"/>
        <w:spacing w:line="360" w:lineRule="auto"/>
        <w:rPr>
          <w:sz w:val="24"/>
          <w:szCs w:val="24"/>
        </w:rPr>
      </w:pPr>
      <w:bookmarkStart w:id="20" w:name="_Toc133245298"/>
      <w:r>
        <w:rPr>
          <w:sz w:val="24"/>
          <w:szCs w:val="24"/>
        </w:rPr>
        <w:t xml:space="preserve">6.1.4 </w:t>
      </w:r>
      <w:r>
        <w:rPr>
          <w:rFonts w:hint="eastAsia"/>
          <w:sz w:val="24"/>
          <w:szCs w:val="24"/>
        </w:rPr>
        <w:t>信息报告</w:t>
      </w:r>
      <w:bookmarkEnd w:id="20"/>
    </w:p>
    <w:p w14:paraId="6446F848">
      <w:pPr>
        <w:spacing w:line="360" w:lineRule="auto"/>
        <w:ind w:firstLine="480" w:firstLineChars="200"/>
        <w:rPr>
          <w:sz w:val="24"/>
        </w:rPr>
      </w:pPr>
      <w:r>
        <w:rPr>
          <w:rFonts w:hint="eastAsia"/>
          <w:sz w:val="24"/>
        </w:rPr>
        <w:t>土壤污染突发事件的报告分为初报和续报，报告应采用电话报告和书面报告相结合的方式。初报主要内容包括：土壤污染突发事件的类型、发生时间、地点、污染源、主要污染物质、人员受害情况、土壤污染面积及程度、事件潜在的危害程度、转化方式趋向等情况。续报主要内容包括：在初报的基础上报告有关确切数据和事件发生的原因、过程、进展情况及采取的应急措施等情况。报告格式可参考附录2。</w:t>
      </w:r>
    </w:p>
    <w:p w14:paraId="11AFC0A5">
      <w:pPr>
        <w:pStyle w:val="4"/>
        <w:spacing w:line="360" w:lineRule="auto"/>
        <w:rPr>
          <w:sz w:val="24"/>
          <w:szCs w:val="24"/>
        </w:rPr>
      </w:pPr>
      <w:bookmarkStart w:id="21" w:name="_Toc133245299"/>
      <w:r>
        <w:rPr>
          <w:sz w:val="24"/>
          <w:szCs w:val="24"/>
        </w:rPr>
        <w:t xml:space="preserve">6.1.5 </w:t>
      </w:r>
      <w:r>
        <w:rPr>
          <w:rFonts w:hint="eastAsia"/>
          <w:sz w:val="24"/>
          <w:szCs w:val="24"/>
        </w:rPr>
        <w:t>响应终止</w:t>
      </w:r>
      <w:bookmarkEnd w:id="21"/>
    </w:p>
    <w:p w14:paraId="1E7E2F4B">
      <w:pPr>
        <w:spacing w:line="360" w:lineRule="auto"/>
        <w:ind w:firstLine="480" w:firstLineChars="200"/>
        <w:rPr>
          <w:sz w:val="24"/>
        </w:rPr>
      </w:pPr>
      <w:r>
        <w:rPr>
          <w:rFonts w:hint="eastAsia"/>
          <w:sz w:val="24"/>
        </w:rPr>
        <w:t>处置突发土壤污染事件的现场同时符合下列全部条件时，视为满足应急终止条件，可终止应急行动：</w:t>
      </w:r>
    </w:p>
    <w:p w14:paraId="69E9104F">
      <w:pPr>
        <w:spacing w:line="360" w:lineRule="auto"/>
        <w:ind w:firstLine="480" w:firstLineChars="200"/>
        <w:rPr>
          <w:sz w:val="24"/>
        </w:rPr>
      </w:pPr>
      <w:r>
        <w:rPr>
          <w:rFonts w:hint="eastAsia"/>
          <w:sz w:val="24"/>
        </w:rPr>
        <w:t>（1）污染事件现场危险状态得到控制，事件发生条件已经消除，无继发可能；</w:t>
      </w:r>
    </w:p>
    <w:p w14:paraId="2D238C27">
      <w:pPr>
        <w:spacing w:line="360" w:lineRule="auto"/>
        <w:ind w:firstLine="480" w:firstLineChars="200"/>
        <w:rPr>
          <w:sz w:val="24"/>
        </w:rPr>
      </w:pPr>
      <w:r>
        <w:rPr>
          <w:rFonts w:hint="eastAsia"/>
          <w:sz w:val="24"/>
        </w:rPr>
        <w:t>（2）监测数据表明，土壤中污染物含量满足《土壤环境质量 建设用地土壤污染风险管控标准（试行）》（GB36600）或《土壤环境质量 农用地土壤污染风险管控标准（试行）》（GB 15618-2018）等相关要求；</w:t>
      </w:r>
    </w:p>
    <w:p w14:paraId="47C48BC2">
      <w:pPr>
        <w:spacing w:line="360" w:lineRule="auto"/>
        <w:ind w:firstLine="480" w:firstLineChars="200"/>
        <w:rPr>
          <w:sz w:val="24"/>
        </w:rPr>
      </w:pPr>
      <w:r>
        <w:rPr>
          <w:rFonts w:hint="eastAsia"/>
          <w:sz w:val="24"/>
        </w:rPr>
        <w:t>（3）土壤污染判定在短期无法消除的，在没有消除前，污染现场设置有醒目的警示标示，可以阻止人员或牲畜进入；</w:t>
      </w:r>
    </w:p>
    <w:p w14:paraId="5A327847">
      <w:pPr>
        <w:spacing w:line="360" w:lineRule="auto"/>
        <w:ind w:firstLine="480" w:firstLineChars="200"/>
        <w:rPr>
          <w:sz w:val="24"/>
        </w:rPr>
      </w:pPr>
      <w:r>
        <w:rPr>
          <w:rFonts w:hint="eastAsia"/>
          <w:sz w:val="24"/>
        </w:rPr>
        <w:t>（4）如果短时间内土壤不能达到标准要求，但制定了经济可行、技术可靠的治理措施；</w:t>
      </w:r>
    </w:p>
    <w:p w14:paraId="5D3D1DB9">
      <w:pPr>
        <w:pStyle w:val="3"/>
        <w:spacing w:line="360" w:lineRule="auto"/>
        <w:rPr>
          <w:rFonts w:ascii="Times New Roman" w:hAnsi="Times New Roman" w:eastAsia="宋体" w:cs="Times New Roman"/>
          <w:sz w:val="24"/>
          <w:szCs w:val="24"/>
        </w:rPr>
      </w:pPr>
      <w:bookmarkStart w:id="22" w:name="_Toc133245300"/>
      <w:r>
        <w:rPr>
          <w:rFonts w:ascii="Times New Roman" w:hAnsi="Times New Roman" w:eastAsia="宋体" w:cs="Times New Roman"/>
          <w:sz w:val="24"/>
          <w:szCs w:val="24"/>
        </w:rPr>
        <w:t xml:space="preserve">6.2 </w:t>
      </w:r>
      <w:r>
        <w:rPr>
          <w:rFonts w:hint="eastAsia" w:ascii="Times New Roman" w:hAnsi="Times New Roman" w:eastAsia="宋体" w:cs="Times New Roman"/>
          <w:sz w:val="24"/>
          <w:szCs w:val="24"/>
        </w:rPr>
        <w:t>后期处置</w:t>
      </w:r>
      <w:bookmarkEnd w:id="22"/>
    </w:p>
    <w:p w14:paraId="0CAA2B8F">
      <w:pPr>
        <w:pStyle w:val="4"/>
        <w:spacing w:line="360" w:lineRule="auto"/>
        <w:rPr>
          <w:sz w:val="24"/>
          <w:szCs w:val="24"/>
        </w:rPr>
      </w:pPr>
      <w:bookmarkStart w:id="23" w:name="_Toc133245301"/>
      <w:r>
        <w:rPr>
          <w:sz w:val="24"/>
          <w:szCs w:val="24"/>
        </w:rPr>
        <w:t>6.2.</w:t>
      </w:r>
      <w:r>
        <w:rPr>
          <w:rFonts w:hint="eastAsia"/>
          <w:sz w:val="24"/>
          <w:szCs w:val="24"/>
        </w:rPr>
        <w:t>1</w:t>
      </w:r>
      <w:r>
        <w:rPr>
          <w:sz w:val="24"/>
          <w:szCs w:val="24"/>
        </w:rPr>
        <w:t xml:space="preserve"> </w:t>
      </w:r>
      <w:r>
        <w:rPr>
          <w:rFonts w:hint="eastAsia"/>
          <w:sz w:val="24"/>
          <w:szCs w:val="24"/>
        </w:rPr>
        <w:t>地块概念模型构建</w:t>
      </w:r>
      <w:bookmarkEnd w:id="23"/>
    </w:p>
    <w:p w14:paraId="7755CF42">
      <w:pPr>
        <w:spacing w:line="360" w:lineRule="auto"/>
        <w:ind w:firstLine="480" w:firstLineChars="200"/>
        <w:rPr>
          <w:sz w:val="24"/>
        </w:rPr>
      </w:pPr>
      <w:r>
        <w:rPr>
          <w:rFonts w:hint="eastAsia"/>
          <w:sz w:val="24"/>
        </w:rPr>
        <w:t>本指南参考美国 EPA《环境清理最佳管理实践：基于生命周期评价的场地概念模型的有效性》(Environmental cleanup Best Management Practices: effective use of the project life cycle conceptual site model)规定了修复技术方案编制阶段地块概念模型的特点，比风险评估阶段初步建立的地块概念模型更加细化、更加定量。修复技术方案编制阶段的地块概念模型，应进一步结合地块水文地质条件、污染物的理化参数、空间分布及其潜在运移途径、风险评估结果等因素，以文字、图、表等方式概化地块地层分布、地下水埋深、流向、描述污染物的空间分布特征、污染物的迁移过程、迁移途径、污染介质与受体的相对位置关系、受体的关键暴露途径以及未来建筑物结构特征等，用以指导修复策略制定、筛选合适的修复技术并提出潜在可行的修复技术备选方案。同时，在修复技术方案制定的过程中，应根据所制定的修复技术方案，动态更新地块概念模型，以评估不同修复技术方案的实施效果。</w:t>
      </w:r>
    </w:p>
    <w:p w14:paraId="31FD0DAA">
      <w:pPr>
        <w:pStyle w:val="4"/>
        <w:spacing w:line="360" w:lineRule="auto"/>
        <w:rPr>
          <w:sz w:val="24"/>
          <w:szCs w:val="24"/>
        </w:rPr>
      </w:pPr>
      <w:bookmarkStart w:id="24" w:name="_Toc133245302"/>
      <w:r>
        <w:rPr>
          <w:sz w:val="24"/>
          <w:szCs w:val="24"/>
        </w:rPr>
        <w:t xml:space="preserve">6.2.2 </w:t>
      </w:r>
      <w:r>
        <w:rPr>
          <w:rFonts w:hint="eastAsia"/>
          <w:sz w:val="24"/>
          <w:szCs w:val="24"/>
        </w:rPr>
        <w:t>处置模式选择</w:t>
      </w:r>
      <w:bookmarkEnd w:id="24"/>
    </w:p>
    <w:p w14:paraId="540201CE">
      <w:pPr>
        <w:spacing w:line="360" w:lineRule="auto"/>
        <w:ind w:firstLine="480" w:firstLineChars="200"/>
        <w:rPr>
          <w:sz w:val="24"/>
        </w:rPr>
      </w:pPr>
      <w:r>
        <w:rPr>
          <w:rFonts w:hint="eastAsia"/>
          <w:sz w:val="24"/>
        </w:rPr>
        <w:t>处置模式的初步筛选主要从技术原理、适用目标污染物、技术成熟度、时间、环境风险、建设成本及运行维护成本等方面考虑。治理修复技术相关筛选工具可参考美国FRTR(Federal Remediation Technologies Roundtable)筛选矩阵，结合实际需求主要是从技术的修复效果、可实施性（包括技术上的可实施性及管理部门的接受性）、成本等角度进行考虑，筛选出潜在可行的处置技术模式。</w:t>
      </w:r>
    </w:p>
    <w:p w14:paraId="6C0C2DE0">
      <w:pPr>
        <w:pStyle w:val="4"/>
        <w:spacing w:line="360" w:lineRule="auto"/>
        <w:rPr>
          <w:sz w:val="24"/>
          <w:szCs w:val="24"/>
        </w:rPr>
      </w:pPr>
      <w:bookmarkStart w:id="25" w:name="_Toc133245303"/>
      <w:r>
        <w:rPr>
          <w:sz w:val="24"/>
          <w:szCs w:val="24"/>
        </w:rPr>
        <w:t xml:space="preserve">6.2.3 </w:t>
      </w:r>
      <w:r>
        <w:rPr>
          <w:rFonts w:hint="eastAsia"/>
          <w:sz w:val="24"/>
          <w:szCs w:val="24"/>
        </w:rPr>
        <w:t>技术方案制定</w:t>
      </w:r>
      <w:bookmarkEnd w:id="25"/>
    </w:p>
    <w:p w14:paraId="2A48D5C0">
      <w:pPr>
        <w:spacing w:line="360" w:lineRule="auto"/>
        <w:ind w:firstLine="480" w:firstLineChars="200"/>
        <w:rPr>
          <w:sz w:val="24"/>
        </w:rPr>
      </w:pPr>
      <w:r>
        <w:rPr>
          <w:rFonts w:hint="eastAsia"/>
          <w:sz w:val="24"/>
        </w:rPr>
        <w:t>修复技术备选方案与方案比选阶段是指进一步综合考虑地块修复目标、修复策略、环境管理要求、污染现状、地块特征条件、水文地质条件、修复技术筛选、可行性试验与评估结果，对各种可行技术进行合理组合，提出若干能够实现修复总体目标的潜在可行的修复技术备选方案；并选择经济效益、环境效益、社会效益综合表现最佳的修复技术备选方案，作为地块最终推荐的修复技术方案，为环境管理决策提供依据。</w:t>
      </w:r>
    </w:p>
    <w:p w14:paraId="473CE577">
      <w:pPr>
        <w:spacing w:line="360" w:lineRule="auto"/>
        <w:ind w:firstLine="480" w:firstLineChars="200"/>
        <w:rPr>
          <w:sz w:val="24"/>
        </w:rPr>
      </w:pPr>
      <w:r>
        <w:rPr>
          <w:rFonts w:hint="eastAsia"/>
          <w:sz w:val="24"/>
        </w:rPr>
        <w:t>方案比选应建立修复技术方案比选指标体系，须充分考虑技术、经济、环境、社会等层面的诸多因素。考虑因素是基于美国</w:t>
      </w:r>
      <w:r>
        <w:rPr>
          <w:sz w:val="24"/>
        </w:rPr>
        <w:t>EPA的9条选择标准以及北京市初步建立的地方性修复技术方案评估体系。</w:t>
      </w:r>
      <w:r>
        <w:rPr>
          <w:rFonts w:hint="eastAsia"/>
          <w:sz w:val="24"/>
        </w:rPr>
        <w:t>修复技术方案比选指标体系</w:t>
      </w:r>
      <w:r>
        <w:rPr>
          <w:sz w:val="24"/>
        </w:rPr>
        <w:t>见表1</w:t>
      </w:r>
      <w:r>
        <w:rPr>
          <w:rFonts w:hint="eastAsia"/>
          <w:sz w:val="24"/>
        </w:rPr>
        <w:t>.</w:t>
      </w:r>
    </w:p>
    <w:p w14:paraId="063BE159">
      <w:pPr>
        <w:jc w:val="center"/>
        <w:rPr>
          <w:bCs/>
          <w:szCs w:val="21"/>
        </w:rPr>
      </w:pPr>
      <w:r>
        <w:rPr>
          <w:rFonts w:hint="eastAsia"/>
          <w:bCs/>
          <w:szCs w:val="21"/>
        </w:rPr>
        <w:t>表</w:t>
      </w:r>
      <w:r>
        <w:rPr>
          <w:bCs/>
          <w:szCs w:val="21"/>
        </w:rPr>
        <w:t>1 修复技术方案比选评估标准体系</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546"/>
        <w:gridCol w:w="933"/>
        <w:gridCol w:w="6883"/>
      </w:tblGrid>
      <w:tr w14:paraId="7A4BC8AA">
        <w:trPr>
          <w:cantSplit/>
          <w:trHeight w:val="20" w:hRule="atLeast"/>
        </w:trPr>
        <w:tc>
          <w:tcPr>
            <w:tcW w:w="0" w:type="auto"/>
            <w:vMerge w:val="restart"/>
            <w:shd w:val="clear" w:color="auto" w:fill="auto"/>
            <w:vAlign w:val="center"/>
          </w:tcPr>
          <w:p w14:paraId="4240C203">
            <w:pPr>
              <w:jc w:val="center"/>
              <w:rPr>
                <w:szCs w:val="21"/>
              </w:rPr>
            </w:pPr>
            <w:r>
              <w:rPr>
                <w:rFonts w:hint="eastAsia" w:ascii="宋体" w:hAnsi="宋体" w:cs="宋体"/>
                <w:szCs w:val="21"/>
              </w:rPr>
              <w:t>①</w:t>
            </w:r>
            <w:r>
              <w:rPr>
                <w:szCs w:val="21"/>
              </w:rPr>
              <w:t>技术指标</w:t>
            </w:r>
          </w:p>
        </w:tc>
        <w:tc>
          <w:tcPr>
            <w:tcW w:w="933" w:type="dxa"/>
            <w:shd w:val="clear" w:color="auto" w:fill="auto"/>
            <w:vAlign w:val="center"/>
          </w:tcPr>
          <w:p w14:paraId="495FCD26">
            <w:pPr>
              <w:jc w:val="center"/>
              <w:rPr>
                <w:szCs w:val="21"/>
              </w:rPr>
            </w:pPr>
            <w:r>
              <w:rPr>
                <w:szCs w:val="21"/>
              </w:rPr>
              <w:t>可操作性</w:t>
            </w:r>
          </w:p>
        </w:tc>
        <w:tc>
          <w:tcPr>
            <w:tcW w:w="6883" w:type="dxa"/>
            <w:shd w:val="clear" w:color="auto" w:fill="auto"/>
            <w:vAlign w:val="center"/>
          </w:tcPr>
          <w:p w14:paraId="7B4DFF65">
            <w:pPr>
              <w:jc w:val="center"/>
              <w:rPr>
                <w:szCs w:val="21"/>
              </w:rPr>
            </w:pPr>
            <w:r>
              <w:rPr>
                <w:szCs w:val="21"/>
              </w:rPr>
              <w:t>修复技术的可靠性；管理人员经验的丰富程度；必要的设备和资源的可获得性；异位修复过程中污染介质的贮存、运输、安全处置方面的可操作性；以及与地块再利用方式或后续建设工程匹配性相关的可操作性指标，包括修复后地块的建设方案及其时间要求、土方平衡方面的可操作性等。</w:t>
            </w:r>
          </w:p>
        </w:tc>
      </w:tr>
      <w:tr w14:paraId="7F758C32">
        <w:trPr>
          <w:cantSplit/>
          <w:trHeight w:val="20" w:hRule="atLeast"/>
        </w:trPr>
        <w:tc>
          <w:tcPr>
            <w:tcW w:w="0" w:type="auto"/>
            <w:vMerge w:val="continue"/>
            <w:shd w:val="clear" w:color="auto" w:fill="auto"/>
            <w:vAlign w:val="center"/>
          </w:tcPr>
          <w:p w14:paraId="485E0F14">
            <w:pPr>
              <w:jc w:val="center"/>
              <w:rPr>
                <w:szCs w:val="21"/>
              </w:rPr>
            </w:pPr>
          </w:p>
        </w:tc>
        <w:tc>
          <w:tcPr>
            <w:tcW w:w="933" w:type="dxa"/>
            <w:shd w:val="clear" w:color="auto" w:fill="auto"/>
            <w:vAlign w:val="center"/>
          </w:tcPr>
          <w:p w14:paraId="5B754CB4">
            <w:pPr>
              <w:jc w:val="center"/>
              <w:rPr>
                <w:szCs w:val="21"/>
              </w:rPr>
            </w:pPr>
            <w:r>
              <w:rPr>
                <w:szCs w:val="21"/>
              </w:rPr>
              <w:t>污染物去除效率</w:t>
            </w:r>
          </w:p>
        </w:tc>
        <w:tc>
          <w:tcPr>
            <w:tcW w:w="6883" w:type="dxa"/>
            <w:shd w:val="clear" w:color="auto" w:fill="auto"/>
            <w:vAlign w:val="center"/>
          </w:tcPr>
          <w:p w14:paraId="3E0C7872">
            <w:pPr>
              <w:jc w:val="center"/>
              <w:rPr>
                <w:szCs w:val="21"/>
              </w:rPr>
            </w:pPr>
            <w:r>
              <w:rPr>
                <w:szCs w:val="21"/>
              </w:rPr>
              <w:t>目标污染物的有效去除数量与总数量的比值。</w:t>
            </w:r>
          </w:p>
        </w:tc>
      </w:tr>
      <w:tr w14:paraId="4ECA681E">
        <w:trPr>
          <w:cantSplit/>
          <w:trHeight w:val="20" w:hRule="atLeast"/>
        </w:trPr>
        <w:tc>
          <w:tcPr>
            <w:tcW w:w="0" w:type="auto"/>
            <w:vMerge w:val="continue"/>
            <w:shd w:val="clear" w:color="auto" w:fill="auto"/>
            <w:vAlign w:val="center"/>
          </w:tcPr>
          <w:p w14:paraId="5B9051C0">
            <w:pPr>
              <w:jc w:val="center"/>
              <w:rPr>
                <w:szCs w:val="21"/>
              </w:rPr>
            </w:pPr>
          </w:p>
        </w:tc>
        <w:tc>
          <w:tcPr>
            <w:tcW w:w="933" w:type="dxa"/>
            <w:shd w:val="clear" w:color="auto" w:fill="auto"/>
            <w:vAlign w:val="center"/>
          </w:tcPr>
          <w:p w14:paraId="4A9D08B1">
            <w:pPr>
              <w:jc w:val="center"/>
              <w:rPr>
                <w:szCs w:val="21"/>
              </w:rPr>
            </w:pPr>
            <w:r>
              <w:rPr>
                <w:szCs w:val="21"/>
              </w:rPr>
              <w:t>修复周期</w:t>
            </w:r>
          </w:p>
        </w:tc>
        <w:tc>
          <w:tcPr>
            <w:tcW w:w="6883" w:type="dxa"/>
            <w:shd w:val="clear" w:color="auto" w:fill="auto"/>
            <w:vAlign w:val="center"/>
          </w:tcPr>
          <w:p w14:paraId="05635542">
            <w:pPr>
              <w:jc w:val="center"/>
              <w:rPr>
                <w:szCs w:val="21"/>
              </w:rPr>
            </w:pPr>
            <w:r>
              <w:rPr>
                <w:szCs w:val="21"/>
              </w:rPr>
              <w:t>达到修复目标/指标所需要的时间。</w:t>
            </w:r>
          </w:p>
        </w:tc>
      </w:tr>
      <w:tr w14:paraId="6D9FEAF5">
        <w:trPr>
          <w:cantSplit/>
          <w:trHeight w:val="20" w:hRule="atLeast"/>
        </w:trPr>
        <w:tc>
          <w:tcPr>
            <w:tcW w:w="0" w:type="auto"/>
            <w:vMerge w:val="restart"/>
            <w:shd w:val="clear" w:color="auto" w:fill="auto"/>
            <w:vAlign w:val="center"/>
          </w:tcPr>
          <w:p w14:paraId="46092801">
            <w:pPr>
              <w:jc w:val="center"/>
              <w:rPr>
                <w:szCs w:val="21"/>
              </w:rPr>
            </w:pPr>
            <w:r>
              <w:rPr>
                <w:rFonts w:hint="eastAsia" w:ascii="宋体" w:hAnsi="宋体" w:cs="宋体"/>
                <w:szCs w:val="21"/>
              </w:rPr>
              <w:t>②</w:t>
            </w:r>
            <w:r>
              <w:rPr>
                <w:szCs w:val="21"/>
              </w:rPr>
              <w:t>经济指标</w:t>
            </w:r>
          </w:p>
        </w:tc>
        <w:tc>
          <w:tcPr>
            <w:tcW w:w="933" w:type="dxa"/>
            <w:shd w:val="clear" w:color="auto" w:fill="auto"/>
            <w:vAlign w:val="center"/>
          </w:tcPr>
          <w:p w14:paraId="685097C9">
            <w:pPr>
              <w:jc w:val="center"/>
              <w:rPr>
                <w:szCs w:val="21"/>
              </w:rPr>
            </w:pPr>
            <w:r>
              <w:rPr>
                <w:szCs w:val="21"/>
              </w:rPr>
              <w:t>基本建设费用</w:t>
            </w:r>
          </w:p>
        </w:tc>
        <w:tc>
          <w:tcPr>
            <w:tcW w:w="6883" w:type="dxa"/>
            <w:shd w:val="clear" w:color="auto" w:fill="auto"/>
            <w:vAlign w:val="center"/>
          </w:tcPr>
          <w:p w14:paraId="76DBE9A9">
            <w:pPr>
              <w:jc w:val="center"/>
              <w:rPr>
                <w:szCs w:val="21"/>
              </w:rPr>
            </w:pPr>
            <w:r>
              <w:rPr>
                <w:szCs w:val="21"/>
              </w:rPr>
              <w:t>包括直接费用和间接费用。其中直接费用包括原材料、设备、设施费用等；间接费用包括工程设计、许可、启动、意外事故费用等。</w:t>
            </w:r>
          </w:p>
        </w:tc>
      </w:tr>
      <w:tr w14:paraId="6FCD6F8B">
        <w:trPr>
          <w:cantSplit/>
          <w:trHeight w:val="20" w:hRule="atLeast"/>
        </w:trPr>
        <w:tc>
          <w:tcPr>
            <w:tcW w:w="0" w:type="auto"/>
            <w:vMerge w:val="continue"/>
            <w:shd w:val="clear" w:color="auto" w:fill="auto"/>
            <w:vAlign w:val="center"/>
          </w:tcPr>
          <w:p w14:paraId="2B05AEDE">
            <w:pPr>
              <w:jc w:val="center"/>
              <w:rPr>
                <w:szCs w:val="21"/>
              </w:rPr>
            </w:pPr>
          </w:p>
        </w:tc>
        <w:tc>
          <w:tcPr>
            <w:tcW w:w="933" w:type="dxa"/>
            <w:shd w:val="clear" w:color="auto" w:fill="auto"/>
            <w:vAlign w:val="center"/>
          </w:tcPr>
          <w:p w14:paraId="141249DA">
            <w:pPr>
              <w:jc w:val="center"/>
              <w:rPr>
                <w:szCs w:val="21"/>
              </w:rPr>
            </w:pPr>
            <w:r>
              <w:rPr>
                <w:szCs w:val="21"/>
              </w:rPr>
              <w:t>运行费用</w:t>
            </w:r>
          </w:p>
        </w:tc>
        <w:tc>
          <w:tcPr>
            <w:tcW w:w="6883" w:type="dxa"/>
            <w:shd w:val="clear" w:color="auto" w:fill="auto"/>
            <w:vAlign w:val="center"/>
          </w:tcPr>
          <w:p w14:paraId="1CA7E373">
            <w:pPr>
              <w:jc w:val="center"/>
              <w:rPr>
                <w:szCs w:val="21"/>
              </w:rPr>
            </w:pPr>
            <w:r>
              <w:rPr>
                <w:szCs w:val="21"/>
              </w:rPr>
              <w:t>人员工资、培训、防护等费用；水电费；采样、检测费用；剩余物处置费用；维修和应急等费用；以及保险、税务、执照等费用。</w:t>
            </w:r>
          </w:p>
        </w:tc>
      </w:tr>
      <w:tr w14:paraId="1E3E164E">
        <w:trPr>
          <w:cantSplit/>
          <w:trHeight w:val="20" w:hRule="atLeast"/>
        </w:trPr>
        <w:tc>
          <w:tcPr>
            <w:tcW w:w="0" w:type="auto"/>
            <w:vMerge w:val="continue"/>
            <w:shd w:val="clear" w:color="auto" w:fill="auto"/>
            <w:vAlign w:val="center"/>
          </w:tcPr>
          <w:p w14:paraId="373D0D40">
            <w:pPr>
              <w:jc w:val="center"/>
              <w:rPr>
                <w:szCs w:val="21"/>
              </w:rPr>
            </w:pPr>
          </w:p>
        </w:tc>
        <w:tc>
          <w:tcPr>
            <w:tcW w:w="933" w:type="dxa"/>
            <w:shd w:val="clear" w:color="auto" w:fill="auto"/>
            <w:vAlign w:val="center"/>
          </w:tcPr>
          <w:p w14:paraId="3C321D80">
            <w:pPr>
              <w:jc w:val="center"/>
              <w:rPr>
                <w:szCs w:val="21"/>
              </w:rPr>
            </w:pPr>
            <w:r>
              <w:rPr>
                <w:szCs w:val="21"/>
              </w:rPr>
              <w:t>后期费用</w:t>
            </w:r>
          </w:p>
        </w:tc>
        <w:tc>
          <w:tcPr>
            <w:tcW w:w="6883" w:type="dxa"/>
            <w:shd w:val="clear" w:color="auto" w:fill="auto"/>
            <w:vAlign w:val="center"/>
          </w:tcPr>
          <w:p w14:paraId="69A29BC0">
            <w:pPr>
              <w:jc w:val="center"/>
              <w:rPr>
                <w:szCs w:val="21"/>
              </w:rPr>
            </w:pPr>
            <w:r>
              <w:rPr>
                <w:szCs w:val="21"/>
              </w:rPr>
              <w:t>日常管理、周期性监测等后期费用。</w:t>
            </w:r>
          </w:p>
        </w:tc>
      </w:tr>
      <w:tr w14:paraId="3B40BA8B">
        <w:trPr>
          <w:cantSplit/>
          <w:trHeight w:val="20" w:hRule="atLeast"/>
        </w:trPr>
        <w:tc>
          <w:tcPr>
            <w:tcW w:w="0" w:type="auto"/>
            <w:vMerge w:val="restart"/>
            <w:shd w:val="clear" w:color="auto" w:fill="auto"/>
            <w:vAlign w:val="center"/>
          </w:tcPr>
          <w:p w14:paraId="4EEA63FC">
            <w:pPr>
              <w:jc w:val="center"/>
              <w:rPr>
                <w:szCs w:val="21"/>
              </w:rPr>
            </w:pPr>
            <w:r>
              <w:rPr>
                <w:rFonts w:hint="eastAsia" w:ascii="宋体" w:hAnsi="宋体" w:cs="宋体"/>
                <w:szCs w:val="21"/>
              </w:rPr>
              <w:t>③</w:t>
            </w:r>
            <w:r>
              <w:rPr>
                <w:szCs w:val="21"/>
              </w:rPr>
              <w:t>环境指标</w:t>
            </w:r>
          </w:p>
        </w:tc>
        <w:tc>
          <w:tcPr>
            <w:tcW w:w="933" w:type="dxa"/>
            <w:shd w:val="clear" w:color="auto" w:fill="auto"/>
            <w:vAlign w:val="center"/>
          </w:tcPr>
          <w:p w14:paraId="110A967D">
            <w:pPr>
              <w:jc w:val="center"/>
              <w:rPr>
                <w:szCs w:val="21"/>
              </w:rPr>
            </w:pPr>
            <w:r>
              <w:rPr>
                <w:szCs w:val="21"/>
              </w:rPr>
              <w:t>残余风险</w:t>
            </w:r>
          </w:p>
        </w:tc>
        <w:tc>
          <w:tcPr>
            <w:tcW w:w="6883" w:type="dxa"/>
            <w:shd w:val="clear" w:color="auto" w:fill="auto"/>
            <w:vAlign w:val="center"/>
          </w:tcPr>
          <w:p w14:paraId="5E3BE804">
            <w:pPr>
              <w:jc w:val="center"/>
              <w:rPr>
                <w:szCs w:val="21"/>
              </w:rPr>
            </w:pPr>
            <w:r>
              <w:rPr>
                <w:szCs w:val="21"/>
              </w:rPr>
              <w:t>剩余污染物或二次产物的类型、数量、特征、风险，以及风险处理处置的难度和不确定性。</w:t>
            </w:r>
          </w:p>
        </w:tc>
      </w:tr>
      <w:tr w14:paraId="601FFA3D">
        <w:trPr>
          <w:cantSplit/>
          <w:trHeight w:val="20" w:hRule="atLeast"/>
        </w:trPr>
        <w:tc>
          <w:tcPr>
            <w:tcW w:w="0" w:type="auto"/>
            <w:vMerge w:val="continue"/>
            <w:shd w:val="clear" w:color="auto" w:fill="auto"/>
            <w:vAlign w:val="center"/>
          </w:tcPr>
          <w:p w14:paraId="3D413F36">
            <w:pPr>
              <w:jc w:val="center"/>
              <w:rPr>
                <w:szCs w:val="21"/>
              </w:rPr>
            </w:pPr>
          </w:p>
        </w:tc>
        <w:tc>
          <w:tcPr>
            <w:tcW w:w="933" w:type="dxa"/>
            <w:shd w:val="clear" w:color="auto" w:fill="auto"/>
            <w:vAlign w:val="center"/>
          </w:tcPr>
          <w:p w14:paraId="0B22D6DC">
            <w:pPr>
              <w:jc w:val="center"/>
              <w:rPr>
                <w:szCs w:val="21"/>
              </w:rPr>
            </w:pPr>
            <w:r>
              <w:rPr>
                <w:szCs w:val="21"/>
              </w:rPr>
              <w:t>长期效果</w:t>
            </w:r>
          </w:p>
        </w:tc>
        <w:tc>
          <w:tcPr>
            <w:tcW w:w="6883" w:type="dxa"/>
            <w:shd w:val="clear" w:color="auto" w:fill="auto"/>
            <w:vAlign w:val="center"/>
          </w:tcPr>
          <w:p w14:paraId="52995A09">
            <w:pPr>
              <w:jc w:val="center"/>
              <w:rPr>
                <w:szCs w:val="21"/>
              </w:rPr>
            </w:pPr>
            <w:r>
              <w:rPr>
                <w:szCs w:val="21"/>
              </w:rPr>
              <w:t>修复工程达到修复目标后的污染物毒性、迁移性或数量的减少程度；预期环境影响（占地、气味、外观等）是否达到了长期环境保护环境健康的目标；是否存在潜在的其他污染问题；需要修复后长期管理的类型和程度；长期操作和维护可能面临的困难；技术更新的潜在需要性。</w:t>
            </w:r>
          </w:p>
        </w:tc>
      </w:tr>
      <w:tr w14:paraId="0E39DC9E">
        <w:trPr>
          <w:cantSplit/>
          <w:trHeight w:val="312" w:hRule="atLeast"/>
        </w:trPr>
        <w:tc>
          <w:tcPr>
            <w:tcW w:w="0" w:type="auto"/>
            <w:vMerge w:val="continue"/>
            <w:shd w:val="clear" w:color="auto" w:fill="auto"/>
            <w:vAlign w:val="center"/>
          </w:tcPr>
          <w:p w14:paraId="45CFD060">
            <w:pPr>
              <w:jc w:val="center"/>
              <w:rPr>
                <w:szCs w:val="21"/>
              </w:rPr>
            </w:pPr>
          </w:p>
        </w:tc>
        <w:tc>
          <w:tcPr>
            <w:tcW w:w="933" w:type="dxa"/>
            <w:vMerge w:val="restart"/>
            <w:shd w:val="clear" w:color="auto" w:fill="auto"/>
            <w:vAlign w:val="center"/>
          </w:tcPr>
          <w:p w14:paraId="5079C106">
            <w:pPr>
              <w:jc w:val="center"/>
              <w:rPr>
                <w:szCs w:val="21"/>
              </w:rPr>
            </w:pPr>
            <w:r>
              <w:rPr>
                <w:szCs w:val="21"/>
              </w:rPr>
              <w:t>健康影响</w:t>
            </w:r>
          </w:p>
        </w:tc>
        <w:tc>
          <w:tcPr>
            <w:tcW w:w="6883" w:type="dxa"/>
            <w:vMerge w:val="restart"/>
            <w:shd w:val="clear" w:color="auto" w:fill="auto"/>
            <w:vAlign w:val="center"/>
          </w:tcPr>
          <w:p w14:paraId="69EEEE53">
            <w:pPr>
              <w:jc w:val="center"/>
              <w:rPr>
                <w:szCs w:val="21"/>
              </w:rPr>
            </w:pPr>
            <w:r>
              <w:rPr>
                <w:szCs w:val="21"/>
              </w:rPr>
              <w:t>修复期间和修复工程达到修复目标后需要应对的健康风险（如异位修复期间的清挖工程中污染物可能对工作人员的健康造成危害）以及减少风险的措施。</w:t>
            </w:r>
          </w:p>
        </w:tc>
      </w:tr>
      <w:tr w14:paraId="2C7A9E06">
        <w:trPr>
          <w:cantSplit/>
          <w:trHeight w:val="312" w:hRule="atLeast"/>
        </w:trPr>
        <w:tc>
          <w:tcPr>
            <w:tcW w:w="0" w:type="auto"/>
            <w:vMerge w:val="continue"/>
            <w:shd w:val="clear" w:color="auto" w:fill="auto"/>
            <w:vAlign w:val="center"/>
          </w:tcPr>
          <w:p w14:paraId="5CD1538B">
            <w:pPr>
              <w:jc w:val="center"/>
              <w:rPr>
                <w:szCs w:val="21"/>
              </w:rPr>
            </w:pPr>
          </w:p>
        </w:tc>
        <w:tc>
          <w:tcPr>
            <w:tcW w:w="933" w:type="dxa"/>
            <w:vMerge w:val="continue"/>
            <w:shd w:val="clear" w:color="auto" w:fill="auto"/>
            <w:vAlign w:val="center"/>
          </w:tcPr>
          <w:p w14:paraId="657ED389">
            <w:pPr>
              <w:jc w:val="center"/>
              <w:rPr>
                <w:szCs w:val="21"/>
              </w:rPr>
            </w:pPr>
          </w:p>
        </w:tc>
        <w:tc>
          <w:tcPr>
            <w:tcW w:w="6883" w:type="dxa"/>
            <w:vMerge w:val="continue"/>
            <w:shd w:val="clear" w:color="auto" w:fill="auto"/>
            <w:vAlign w:val="center"/>
          </w:tcPr>
          <w:p w14:paraId="4D861904">
            <w:pPr>
              <w:jc w:val="center"/>
              <w:rPr>
                <w:szCs w:val="21"/>
              </w:rPr>
            </w:pPr>
          </w:p>
        </w:tc>
      </w:tr>
      <w:tr w14:paraId="764A99CE">
        <w:trPr>
          <w:cantSplit/>
          <w:trHeight w:val="312" w:hRule="atLeast"/>
        </w:trPr>
        <w:tc>
          <w:tcPr>
            <w:tcW w:w="0" w:type="auto"/>
            <w:vMerge w:val="restart"/>
            <w:shd w:val="clear" w:color="auto" w:fill="auto"/>
            <w:vAlign w:val="center"/>
          </w:tcPr>
          <w:p w14:paraId="770D1169">
            <w:pPr>
              <w:jc w:val="center"/>
              <w:rPr>
                <w:szCs w:val="21"/>
              </w:rPr>
            </w:pPr>
            <w:r>
              <w:rPr>
                <w:rFonts w:hint="eastAsia" w:ascii="宋体" w:hAnsi="宋体" w:cs="宋体"/>
                <w:szCs w:val="21"/>
              </w:rPr>
              <w:t>④</w:t>
            </w:r>
            <w:r>
              <w:rPr>
                <w:szCs w:val="21"/>
              </w:rPr>
              <w:t>社会指标</w:t>
            </w:r>
          </w:p>
        </w:tc>
        <w:tc>
          <w:tcPr>
            <w:tcW w:w="933" w:type="dxa"/>
            <w:vMerge w:val="restart"/>
            <w:shd w:val="clear" w:color="auto" w:fill="auto"/>
            <w:vAlign w:val="center"/>
          </w:tcPr>
          <w:p w14:paraId="4B61E30D">
            <w:pPr>
              <w:jc w:val="center"/>
              <w:rPr>
                <w:szCs w:val="21"/>
              </w:rPr>
            </w:pPr>
            <w:r>
              <w:rPr>
                <w:szCs w:val="21"/>
              </w:rPr>
              <w:t>管理可接受程度</w:t>
            </w:r>
          </w:p>
        </w:tc>
        <w:tc>
          <w:tcPr>
            <w:tcW w:w="6883" w:type="dxa"/>
            <w:vMerge w:val="restart"/>
            <w:shd w:val="clear" w:color="auto" w:fill="auto"/>
            <w:vAlign w:val="center"/>
          </w:tcPr>
          <w:p w14:paraId="055057F2">
            <w:pPr>
              <w:jc w:val="center"/>
              <w:rPr>
                <w:szCs w:val="21"/>
              </w:rPr>
            </w:pPr>
            <w:r>
              <w:rPr>
                <w:szCs w:val="21"/>
              </w:rPr>
              <w:t>区域适宜性；与现行法律法规、相关标准和规范的符合性等。</w:t>
            </w:r>
          </w:p>
        </w:tc>
      </w:tr>
      <w:tr w14:paraId="1115C1C3">
        <w:trPr>
          <w:cantSplit/>
          <w:trHeight w:val="312" w:hRule="atLeast"/>
        </w:trPr>
        <w:tc>
          <w:tcPr>
            <w:tcW w:w="0" w:type="auto"/>
            <w:vMerge w:val="continue"/>
            <w:shd w:val="clear" w:color="auto" w:fill="auto"/>
            <w:vAlign w:val="center"/>
          </w:tcPr>
          <w:p w14:paraId="26FB6B33">
            <w:pPr>
              <w:jc w:val="center"/>
              <w:rPr>
                <w:szCs w:val="21"/>
              </w:rPr>
            </w:pPr>
          </w:p>
        </w:tc>
        <w:tc>
          <w:tcPr>
            <w:tcW w:w="933" w:type="dxa"/>
            <w:vMerge w:val="continue"/>
            <w:shd w:val="clear" w:color="auto" w:fill="auto"/>
            <w:vAlign w:val="center"/>
          </w:tcPr>
          <w:p w14:paraId="164C44A5">
            <w:pPr>
              <w:jc w:val="center"/>
              <w:rPr>
                <w:szCs w:val="21"/>
              </w:rPr>
            </w:pPr>
          </w:p>
        </w:tc>
        <w:tc>
          <w:tcPr>
            <w:tcW w:w="6883" w:type="dxa"/>
            <w:vMerge w:val="continue"/>
            <w:shd w:val="clear" w:color="auto" w:fill="auto"/>
            <w:vAlign w:val="center"/>
          </w:tcPr>
          <w:p w14:paraId="06F21B80">
            <w:pPr>
              <w:jc w:val="center"/>
              <w:rPr>
                <w:szCs w:val="21"/>
              </w:rPr>
            </w:pPr>
          </w:p>
        </w:tc>
      </w:tr>
      <w:tr w14:paraId="263AD375">
        <w:trPr>
          <w:cantSplit/>
          <w:trHeight w:val="20" w:hRule="atLeast"/>
        </w:trPr>
        <w:tc>
          <w:tcPr>
            <w:tcW w:w="0" w:type="auto"/>
            <w:vMerge w:val="continue"/>
            <w:shd w:val="clear" w:color="auto" w:fill="auto"/>
            <w:vAlign w:val="center"/>
          </w:tcPr>
          <w:p w14:paraId="0AB71B87">
            <w:pPr>
              <w:jc w:val="center"/>
              <w:rPr>
                <w:szCs w:val="21"/>
              </w:rPr>
            </w:pPr>
          </w:p>
        </w:tc>
        <w:tc>
          <w:tcPr>
            <w:tcW w:w="933" w:type="dxa"/>
            <w:shd w:val="clear" w:color="auto" w:fill="auto"/>
            <w:vAlign w:val="center"/>
          </w:tcPr>
          <w:p w14:paraId="2DA7BAAC">
            <w:pPr>
              <w:jc w:val="center"/>
              <w:rPr>
                <w:szCs w:val="21"/>
              </w:rPr>
            </w:pPr>
            <w:r>
              <w:rPr>
                <w:szCs w:val="21"/>
              </w:rPr>
              <w:t>公众可接受程度</w:t>
            </w:r>
          </w:p>
        </w:tc>
        <w:tc>
          <w:tcPr>
            <w:tcW w:w="6883" w:type="dxa"/>
            <w:shd w:val="clear" w:color="auto" w:fill="auto"/>
            <w:vAlign w:val="center"/>
          </w:tcPr>
          <w:p w14:paraId="16B12DE8">
            <w:pPr>
              <w:jc w:val="center"/>
              <w:rPr>
                <w:szCs w:val="21"/>
              </w:rPr>
            </w:pPr>
            <w:r>
              <w:rPr>
                <w:szCs w:val="21"/>
              </w:rPr>
              <w:t>施工期对周围居民可能造成的影响（气味、噪声等）。</w:t>
            </w:r>
          </w:p>
        </w:tc>
      </w:tr>
    </w:tbl>
    <w:p w14:paraId="39CEEF7E">
      <w:pPr>
        <w:ind w:firstLine="480"/>
      </w:pPr>
    </w:p>
    <w:p w14:paraId="52C69342">
      <w:pPr>
        <w:spacing w:line="360" w:lineRule="auto"/>
        <w:ind w:firstLine="480" w:firstLineChars="200"/>
        <w:rPr>
          <w:sz w:val="24"/>
        </w:rPr>
      </w:pPr>
      <w:r>
        <w:rPr>
          <w:rFonts w:hint="eastAsia"/>
          <w:sz w:val="24"/>
        </w:rPr>
        <w:t>对于修复技术方案的最终选择，可以采用2种方式：一是利用详细分析结果，通过不同指标的对比、综合判断后，选择更为合适的修复技术方案作为地块修复技术方案；二是利用专家评分的方式，在备选技术方案中选择得分最高的方案作为地块修复技术方案。</w:t>
      </w:r>
    </w:p>
    <w:p w14:paraId="270C26B1">
      <w:pPr>
        <w:pStyle w:val="4"/>
        <w:spacing w:line="360" w:lineRule="auto"/>
        <w:rPr>
          <w:sz w:val="24"/>
          <w:szCs w:val="24"/>
        </w:rPr>
      </w:pPr>
      <w:bookmarkStart w:id="26" w:name="_Toc133245304"/>
      <w:r>
        <w:rPr>
          <w:sz w:val="24"/>
          <w:szCs w:val="24"/>
        </w:rPr>
        <w:t xml:space="preserve">6.2.4 </w:t>
      </w:r>
      <w:r>
        <w:rPr>
          <w:rFonts w:hint="eastAsia"/>
          <w:sz w:val="24"/>
          <w:szCs w:val="24"/>
        </w:rPr>
        <w:t>技术筛选与评估</w:t>
      </w:r>
      <w:bookmarkEnd w:id="26"/>
    </w:p>
    <w:p w14:paraId="1835145E">
      <w:pPr>
        <w:spacing w:line="360" w:lineRule="auto"/>
        <w:ind w:firstLine="480" w:firstLineChars="200"/>
        <w:rPr>
          <w:sz w:val="24"/>
        </w:rPr>
      </w:pPr>
      <w:r>
        <w:rPr>
          <w:rFonts w:hint="eastAsia"/>
          <w:sz w:val="24"/>
        </w:rPr>
        <w:t>筛选与评估修复技术阶段是指以地块修复目标与修复策略为核心，通过技术筛选，找出适用于目标地块的潜在可行技术，并根据需要进行相应的技术可行性试验与评估，确定目标地块的可行修复技术。</w:t>
      </w:r>
    </w:p>
    <w:p w14:paraId="475B193D">
      <w:pPr>
        <w:pStyle w:val="4"/>
        <w:spacing w:line="360" w:lineRule="auto"/>
        <w:rPr>
          <w:sz w:val="24"/>
          <w:szCs w:val="24"/>
        </w:rPr>
      </w:pPr>
      <w:bookmarkStart w:id="27" w:name="_Toc133245305"/>
      <w:r>
        <w:rPr>
          <w:sz w:val="24"/>
          <w:szCs w:val="24"/>
        </w:rPr>
        <w:t xml:space="preserve">6.2.5 </w:t>
      </w:r>
      <w:r>
        <w:rPr>
          <w:rFonts w:hint="eastAsia"/>
          <w:sz w:val="24"/>
          <w:szCs w:val="24"/>
        </w:rPr>
        <w:t>后期处置技术方案制定</w:t>
      </w:r>
      <w:bookmarkEnd w:id="27"/>
    </w:p>
    <w:p w14:paraId="0CE410C1">
      <w:pPr>
        <w:spacing w:line="360" w:lineRule="auto"/>
        <w:ind w:firstLine="480" w:firstLineChars="200"/>
        <w:rPr>
          <w:sz w:val="24"/>
        </w:rPr>
      </w:pPr>
      <w:r>
        <w:rPr>
          <w:rFonts w:hint="eastAsia"/>
          <w:sz w:val="24"/>
        </w:rPr>
        <w:t>6根据修复模式及技术筛选结果，结合地块环境管理要求等，单一选择或合理组合各种可行技术，制定备选方案，各备选方案应至少包括技术路线、修复工程量、关键工艺参数、实施成本与工期、实施过程环境影响等内容。</w:t>
      </w:r>
    </w:p>
    <w:p w14:paraId="24637C8E">
      <w:pPr>
        <w:spacing w:line="360" w:lineRule="auto"/>
        <w:ind w:firstLine="480" w:firstLineChars="200"/>
        <w:rPr>
          <w:sz w:val="24"/>
        </w:rPr>
      </w:pPr>
      <w:r>
        <w:rPr>
          <w:rFonts w:hint="eastAsia"/>
          <w:sz w:val="24"/>
        </w:rPr>
        <w:t>采用对比分析、综合判断或专家评分等方式，综合考虑技术、经济、环境、社会效益等指标进行备选方案比选，选定技术方案。其中，污染物去除效率、修复周期、成本等比选指标，宜结合技术筛选与评估的工作成果，采用定量或半定量数据进行对比分析。</w:t>
      </w:r>
    </w:p>
    <w:p w14:paraId="17AE0F28">
      <w:pPr>
        <w:spacing w:line="360" w:lineRule="auto"/>
        <w:ind w:firstLine="480" w:firstLineChars="200"/>
        <w:rPr>
          <w:sz w:val="24"/>
        </w:rPr>
      </w:pPr>
      <w:r>
        <w:rPr>
          <w:rFonts w:hint="eastAsia"/>
          <w:sz w:val="24"/>
        </w:rPr>
        <w:t>细化选定的技术方案中各项修复技术实施的工艺流程，识别各项修复技术的二次污染环节，明确污染防治要求，制定技术方案。</w:t>
      </w:r>
    </w:p>
    <w:p w14:paraId="0B883485">
      <w:pPr>
        <w:pStyle w:val="3"/>
        <w:spacing w:line="360" w:lineRule="auto"/>
        <w:rPr>
          <w:rFonts w:ascii="Times New Roman" w:hAnsi="Times New Roman" w:eastAsia="宋体" w:cs="Times New Roman"/>
          <w:sz w:val="24"/>
          <w:szCs w:val="24"/>
        </w:rPr>
      </w:pPr>
      <w:bookmarkStart w:id="28" w:name="_Toc133245306"/>
      <w:r>
        <w:rPr>
          <w:rFonts w:ascii="Times New Roman" w:hAnsi="Times New Roman" w:eastAsia="宋体" w:cs="Times New Roman"/>
          <w:sz w:val="24"/>
          <w:szCs w:val="24"/>
        </w:rPr>
        <w:t xml:space="preserve">6.3 </w:t>
      </w:r>
      <w:r>
        <w:rPr>
          <w:rFonts w:hint="eastAsia" w:ascii="Times New Roman" w:hAnsi="Times New Roman" w:eastAsia="宋体" w:cs="Times New Roman"/>
          <w:sz w:val="24"/>
          <w:szCs w:val="24"/>
        </w:rPr>
        <w:t>事故调查与</w:t>
      </w:r>
      <w:bookmarkEnd w:id="28"/>
      <w:r>
        <w:rPr>
          <w:rFonts w:hint="eastAsia" w:ascii="Times New Roman" w:hAnsi="Times New Roman" w:eastAsia="宋体" w:cs="Times New Roman"/>
          <w:sz w:val="24"/>
          <w:szCs w:val="24"/>
        </w:rPr>
        <w:t>总结</w:t>
      </w:r>
    </w:p>
    <w:p w14:paraId="035394A2">
      <w:pPr>
        <w:pStyle w:val="4"/>
        <w:spacing w:line="360" w:lineRule="auto"/>
        <w:rPr>
          <w:sz w:val="24"/>
          <w:szCs w:val="24"/>
        </w:rPr>
      </w:pPr>
      <w:bookmarkStart w:id="29" w:name="_Toc133245307"/>
      <w:r>
        <w:rPr>
          <w:sz w:val="24"/>
          <w:szCs w:val="24"/>
        </w:rPr>
        <w:t xml:space="preserve">6.3.1 </w:t>
      </w:r>
      <w:r>
        <w:rPr>
          <w:rFonts w:hint="eastAsia"/>
          <w:sz w:val="24"/>
          <w:szCs w:val="24"/>
        </w:rPr>
        <w:t>事故调查</w:t>
      </w:r>
      <w:bookmarkEnd w:id="29"/>
    </w:p>
    <w:p w14:paraId="3879B4D0">
      <w:pPr>
        <w:spacing w:line="360" w:lineRule="auto"/>
        <w:ind w:firstLine="480" w:firstLineChars="200"/>
        <w:rPr>
          <w:sz w:val="24"/>
        </w:rPr>
      </w:pPr>
      <w:r>
        <w:rPr>
          <w:rFonts w:hint="eastAsia"/>
          <w:sz w:val="24"/>
        </w:rPr>
        <w:t>开展应急处置过程评价，及时调查土壤污染突发事件出现的原因与污染扩散的过程，对可能造成的后续环境影响进行评估。</w:t>
      </w:r>
    </w:p>
    <w:p w14:paraId="3D1241C9">
      <w:pPr>
        <w:pStyle w:val="4"/>
        <w:spacing w:line="360" w:lineRule="auto"/>
        <w:rPr>
          <w:sz w:val="24"/>
          <w:szCs w:val="24"/>
        </w:rPr>
      </w:pPr>
      <w:bookmarkStart w:id="30" w:name="_Toc133245309"/>
      <w:r>
        <w:rPr>
          <w:sz w:val="24"/>
          <w:szCs w:val="24"/>
        </w:rPr>
        <w:t>6.3.</w:t>
      </w:r>
      <w:r>
        <w:rPr>
          <w:rFonts w:hint="eastAsia"/>
          <w:sz w:val="24"/>
          <w:szCs w:val="24"/>
        </w:rPr>
        <w:t>2</w:t>
      </w:r>
      <w:r>
        <w:rPr>
          <w:sz w:val="24"/>
          <w:szCs w:val="24"/>
        </w:rPr>
        <w:t xml:space="preserve"> </w:t>
      </w:r>
      <w:r>
        <w:rPr>
          <w:rFonts w:hint="eastAsia"/>
          <w:sz w:val="24"/>
          <w:szCs w:val="24"/>
        </w:rPr>
        <w:t>处置工作总结与预案完善</w:t>
      </w:r>
      <w:bookmarkEnd w:id="30"/>
    </w:p>
    <w:p w14:paraId="0072A1DA">
      <w:pPr>
        <w:spacing w:line="360" w:lineRule="auto"/>
        <w:ind w:firstLine="480" w:firstLineChars="200"/>
        <w:rPr>
          <w:sz w:val="24"/>
        </w:rPr>
      </w:pPr>
      <w:r>
        <w:rPr>
          <w:rFonts w:hint="eastAsia"/>
          <w:sz w:val="24"/>
        </w:rPr>
        <w:t>总结应急处置工作的经验和教训，提出土壤污染突发事件日常防范和应急响应的改进措施及建议，并对园区企业突发环境污染事件应急预案进行完善。</w:t>
      </w:r>
    </w:p>
    <w:p w14:paraId="48B7D5E7">
      <w:pPr>
        <w:pStyle w:val="2"/>
        <w:adjustRightInd w:val="0"/>
        <w:snapToGrid w:val="0"/>
        <w:spacing w:line="360" w:lineRule="auto"/>
        <w:rPr>
          <w:sz w:val="24"/>
          <w:szCs w:val="24"/>
          <w:lang w:val="zh-CN"/>
        </w:rPr>
      </w:pPr>
      <w:bookmarkStart w:id="31" w:name="_Toc133245310"/>
      <w:r>
        <w:rPr>
          <w:sz w:val="24"/>
          <w:szCs w:val="24"/>
          <w:lang w:val="zh-CN"/>
        </w:rPr>
        <w:t>7 预期效果</w:t>
      </w:r>
      <w:bookmarkEnd w:id="31"/>
    </w:p>
    <w:p w14:paraId="4F95D11D">
      <w:pPr>
        <w:spacing w:line="360" w:lineRule="auto"/>
        <w:ind w:firstLine="480" w:firstLineChars="200"/>
        <w:rPr>
          <w:sz w:val="24"/>
        </w:rPr>
      </w:pPr>
      <w:r>
        <w:rPr>
          <w:rFonts w:hint="eastAsia"/>
          <w:sz w:val="24"/>
        </w:rPr>
        <w:t>本指南的实施应与生态环境部颁布的《建设用地土壤污染状况调查技术导则》(HJ 25.1-2019)、《建设用地土壤污染风险管控和修复监测技术导则》(HJ 25.2-2019)、《建设用地土壤污染风险评估技术导则》(HJ 25.3-2019)、《建设用地土壤修复技术导则》(HJ 25.4-2019)、《建设用地土壤污染风险管控和修复术语》(HJ 682-2019)、《污染地块风险管控与土壤修复效果评估技术导则》（HJ 25.5-2018）、《污染地块地下水修复和风险管控技术导则》（HJ 25.6-2019）等污染场地相关标准相配套。</w:t>
      </w:r>
    </w:p>
    <w:p w14:paraId="418434CE">
      <w:pPr>
        <w:spacing w:line="360" w:lineRule="auto"/>
        <w:ind w:firstLine="480" w:firstLineChars="200"/>
        <w:rPr>
          <w:sz w:val="24"/>
        </w:rPr>
      </w:pPr>
      <w:r>
        <w:rPr>
          <w:rFonts w:hint="eastAsia"/>
          <w:sz w:val="24"/>
        </w:rPr>
        <w:t>本标准建议在实际应用中不断修订完善。</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Tahoma">
    <w:panose1 w:val="020B0604030504040204"/>
    <w:charset w:val="00"/>
    <w:family w:val="swiss"/>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微软雅黑">
    <w:panose1 w:val="020B0502040204020203"/>
    <w:charset w:val="86"/>
    <w:family w:val="swiss"/>
    <w:pitch w:val="default"/>
    <w:sig w:usb0="A00002BF" w:usb1="2ACF7CFB" w:usb2="00000016" w:usb3="00000000" w:csb0="2004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668E">
    <w:pPr>
      <w:pStyle w:val="10"/>
      <w:jc w:val="center"/>
    </w:pPr>
  </w:p>
  <w:p w14:paraId="7CB5F64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050750"/>
      <w:docPartObj>
        <w:docPartGallery w:val="autotext"/>
      </w:docPartObj>
    </w:sdtPr>
    <w:sdtContent>
      <w:p w14:paraId="1958B37F">
        <w:pPr>
          <w:pStyle w:val="10"/>
          <w:jc w:val="center"/>
        </w:pPr>
        <w:r>
          <w:fldChar w:fldCharType="begin"/>
        </w:r>
        <w:r>
          <w:instrText xml:space="preserve">PAGE   \* MERGEFORMAT</w:instrText>
        </w:r>
        <w:r>
          <w:fldChar w:fldCharType="separate"/>
        </w:r>
        <w:r>
          <w:rPr>
            <w:lang w:val="zh-CN"/>
          </w:rPr>
          <w:t>4</w:t>
        </w:r>
        <w:r>
          <w:fldChar w:fldCharType="end"/>
        </w:r>
      </w:p>
    </w:sdtContent>
  </w:sdt>
  <w:p w14:paraId="7AEAD20B">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55DC2"/>
    <w:multiLevelType w:val="multilevel"/>
    <w:tmpl w:val="60B55DC2"/>
    <w:lvl w:ilvl="0" w:tentative="0">
      <w:start w:val="1"/>
      <w:numFmt w:val="upperLetter"/>
      <w:pStyle w:val="35"/>
      <w:lvlText w:val="%1"/>
      <w:lvlJc w:val="left"/>
      <w:pPr>
        <w:tabs>
          <w:tab w:val="left" w:pos="0"/>
        </w:tabs>
        <w:ind w:left="0" w:hanging="425"/>
      </w:pPr>
      <w:rPr>
        <w:rFonts w:hint="eastAsia"/>
      </w:rPr>
    </w:lvl>
    <w:lvl w:ilvl="1" w:tentative="0">
      <w:start w:val="1"/>
      <w:numFmt w:val="decimal"/>
      <w:pStyle w:val="3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MTZhMTJjNGQ4YTA4YmZjM2JmZmYyOWFiMWYwMzIifQ=="/>
  </w:docVars>
  <w:rsids>
    <w:rsidRoot w:val="009313EB"/>
    <w:rsid w:val="00000135"/>
    <w:rsid w:val="0000743C"/>
    <w:rsid w:val="0001473A"/>
    <w:rsid w:val="00015029"/>
    <w:rsid w:val="00015219"/>
    <w:rsid w:val="0002312C"/>
    <w:rsid w:val="00023793"/>
    <w:rsid w:val="00023A48"/>
    <w:rsid w:val="00026A17"/>
    <w:rsid w:val="0003297A"/>
    <w:rsid w:val="00034D5B"/>
    <w:rsid w:val="00042DE0"/>
    <w:rsid w:val="00044781"/>
    <w:rsid w:val="00045B73"/>
    <w:rsid w:val="0005096C"/>
    <w:rsid w:val="00060811"/>
    <w:rsid w:val="00063984"/>
    <w:rsid w:val="00071F25"/>
    <w:rsid w:val="00073E27"/>
    <w:rsid w:val="00075D97"/>
    <w:rsid w:val="000810D2"/>
    <w:rsid w:val="000824A0"/>
    <w:rsid w:val="000833A2"/>
    <w:rsid w:val="00086878"/>
    <w:rsid w:val="00095065"/>
    <w:rsid w:val="000968AF"/>
    <w:rsid w:val="000B5127"/>
    <w:rsid w:val="000C0F45"/>
    <w:rsid w:val="000C20D5"/>
    <w:rsid w:val="000C2E23"/>
    <w:rsid w:val="000C33E5"/>
    <w:rsid w:val="000D0ED1"/>
    <w:rsid w:val="000D119C"/>
    <w:rsid w:val="000D5B7E"/>
    <w:rsid w:val="000E4475"/>
    <w:rsid w:val="000E6AA7"/>
    <w:rsid w:val="000F49C5"/>
    <w:rsid w:val="000F7237"/>
    <w:rsid w:val="000F777D"/>
    <w:rsid w:val="00100AE0"/>
    <w:rsid w:val="001155ED"/>
    <w:rsid w:val="00126327"/>
    <w:rsid w:val="00127483"/>
    <w:rsid w:val="00133DEA"/>
    <w:rsid w:val="00135027"/>
    <w:rsid w:val="00135D34"/>
    <w:rsid w:val="00141CAC"/>
    <w:rsid w:val="00147B41"/>
    <w:rsid w:val="0015260F"/>
    <w:rsid w:val="00152E7E"/>
    <w:rsid w:val="00161277"/>
    <w:rsid w:val="001661E2"/>
    <w:rsid w:val="00167A53"/>
    <w:rsid w:val="00170A1C"/>
    <w:rsid w:val="00173CD0"/>
    <w:rsid w:val="001747B0"/>
    <w:rsid w:val="00174E37"/>
    <w:rsid w:val="00177B4D"/>
    <w:rsid w:val="00181314"/>
    <w:rsid w:val="00182EFA"/>
    <w:rsid w:val="00182F32"/>
    <w:rsid w:val="00186862"/>
    <w:rsid w:val="0018784B"/>
    <w:rsid w:val="0019384C"/>
    <w:rsid w:val="001950C2"/>
    <w:rsid w:val="00196858"/>
    <w:rsid w:val="001B06EB"/>
    <w:rsid w:val="001B4C17"/>
    <w:rsid w:val="001D11B2"/>
    <w:rsid w:val="001D590B"/>
    <w:rsid w:val="001F0FB9"/>
    <w:rsid w:val="001F1FC9"/>
    <w:rsid w:val="001F50DE"/>
    <w:rsid w:val="001F6657"/>
    <w:rsid w:val="001F7530"/>
    <w:rsid w:val="002010D8"/>
    <w:rsid w:val="002023F9"/>
    <w:rsid w:val="0020569A"/>
    <w:rsid w:val="0020739F"/>
    <w:rsid w:val="0021252C"/>
    <w:rsid w:val="00214016"/>
    <w:rsid w:val="00215AA1"/>
    <w:rsid w:val="00221931"/>
    <w:rsid w:val="002240E4"/>
    <w:rsid w:val="002274EC"/>
    <w:rsid w:val="00231690"/>
    <w:rsid w:val="002425DE"/>
    <w:rsid w:val="00252EAC"/>
    <w:rsid w:val="00254177"/>
    <w:rsid w:val="00255CDF"/>
    <w:rsid w:val="00262BBB"/>
    <w:rsid w:val="00263DA3"/>
    <w:rsid w:val="00271B41"/>
    <w:rsid w:val="002A11BE"/>
    <w:rsid w:val="002A15F7"/>
    <w:rsid w:val="002A1D44"/>
    <w:rsid w:val="002B5E16"/>
    <w:rsid w:val="002B6343"/>
    <w:rsid w:val="002C08A8"/>
    <w:rsid w:val="002C33FC"/>
    <w:rsid w:val="002C4091"/>
    <w:rsid w:val="002D0207"/>
    <w:rsid w:val="002D11CE"/>
    <w:rsid w:val="002D2FA1"/>
    <w:rsid w:val="002E2E95"/>
    <w:rsid w:val="002E3216"/>
    <w:rsid w:val="002F06BD"/>
    <w:rsid w:val="002F0DB8"/>
    <w:rsid w:val="002F241C"/>
    <w:rsid w:val="002F41F4"/>
    <w:rsid w:val="002F554A"/>
    <w:rsid w:val="002F655C"/>
    <w:rsid w:val="002F6961"/>
    <w:rsid w:val="003000FB"/>
    <w:rsid w:val="003002D4"/>
    <w:rsid w:val="003046C7"/>
    <w:rsid w:val="00304D30"/>
    <w:rsid w:val="00306163"/>
    <w:rsid w:val="00307134"/>
    <w:rsid w:val="003074B3"/>
    <w:rsid w:val="00311F98"/>
    <w:rsid w:val="00313392"/>
    <w:rsid w:val="003260F0"/>
    <w:rsid w:val="00326852"/>
    <w:rsid w:val="00326EA2"/>
    <w:rsid w:val="003272A4"/>
    <w:rsid w:val="00346659"/>
    <w:rsid w:val="003501D4"/>
    <w:rsid w:val="003506D6"/>
    <w:rsid w:val="00352154"/>
    <w:rsid w:val="003566C9"/>
    <w:rsid w:val="00366917"/>
    <w:rsid w:val="0037537D"/>
    <w:rsid w:val="00383775"/>
    <w:rsid w:val="003866A4"/>
    <w:rsid w:val="00394AC6"/>
    <w:rsid w:val="00396A8E"/>
    <w:rsid w:val="003A0DAF"/>
    <w:rsid w:val="003A4DB7"/>
    <w:rsid w:val="003A59F8"/>
    <w:rsid w:val="003C204A"/>
    <w:rsid w:val="003C3881"/>
    <w:rsid w:val="003C45D0"/>
    <w:rsid w:val="003D5414"/>
    <w:rsid w:val="003D560B"/>
    <w:rsid w:val="003E591E"/>
    <w:rsid w:val="003F6B8A"/>
    <w:rsid w:val="003F70CB"/>
    <w:rsid w:val="003F70E4"/>
    <w:rsid w:val="00423EEC"/>
    <w:rsid w:val="00425364"/>
    <w:rsid w:val="00433021"/>
    <w:rsid w:val="00434289"/>
    <w:rsid w:val="00435B89"/>
    <w:rsid w:val="00440204"/>
    <w:rsid w:val="00443364"/>
    <w:rsid w:val="004441BF"/>
    <w:rsid w:val="0044494A"/>
    <w:rsid w:val="00450363"/>
    <w:rsid w:val="00452E7A"/>
    <w:rsid w:val="00457F71"/>
    <w:rsid w:val="00460696"/>
    <w:rsid w:val="00460874"/>
    <w:rsid w:val="00462822"/>
    <w:rsid w:val="00462A54"/>
    <w:rsid w:val="00463119"/>
    <w:rsid w:val="00473E54"/>
    <w:rsid w:val="00474F84"/>
    <w:rsid w:val="00477842"/>
    <w:rsid w:val="00483731"/>
    <w:rsid w:val="00485DE7"/>
    <w:rsid w:val="004866C3"/>
    <w:rsid w:val="0049068C"/>
    <w:rsid w:val="0049200A"/>
    <w:rsid w:val="004C28C8"/>
    <w:rsid w:val="004D303B"/>
    <w:rsid w:val="004D3B50"/>
    <w:rsid w:val="004E2DF4"/>
    <w:rsid w:val="004E4D9E"/>
    <w:rsid w:val="004F33B9"/>
    <w:rsid w:val="004F5C38"/>
    <w:rsid w:val="00501B86"/>
    <w:rsid w:val="005047C3"/>
    <w:rsid w:val="0050746F"/>
    <w:rsid w:val="00510C34"/>
    <w:rsid w:val="00512E86"/>
    <w:rsid w:val="00516A47"/>
    <w:rsid w:val="00517FB7"/>
    <w:rsid w:val="00521794"/>
    <w:rsid w:val="00522AEC"/>
    <w:rsid w:val="00553115"/>
    <w:rsid w:val="00574493"/>
    <w:rsid w:val="00577211"/>
    <w:rsid w:val="00577D9D"/>
    <w:rsid w:val="00581CC5"/>
    <w:rsid w:val="005931CE"/>
    <w:rsid w:val="00595F6D"/>
    <w:rsid w:val="00596938"/>
    <w:rsid w:val="005A0C76"/>
    <w:rsid w:val="005A7B79"/>
    <w:rsid w:val="005B5FC3"/>
    <w:rsid w:val="005C7C3D"/>
    <w:rsid w:val="005D063F"/>
    <w:rsid w:val="005D1145"/>
    <w:rsid w:val="005D267E"/>
    <w:rsid w:val="005E34DF"/>
    <w:rsid w:val="005E3AEE"/>
    <w:rsid w:val="005F2B4D"/>
    <w:rsid w:val="005F71E5"/>
    <w:rsid w:val="006040BE"/>
    <w:rsid w:val="00610982"/>
    <w:rsid w:val="00611CB2"/>
    <w:rsid w:val="00620671"/>
    <w:rsid w:val="006248BC"/>
    <w:rsid w:val="00630211"/>
    <w:rsid w:val="0064640A"/>
    <w:rsid w:val="00651779"/>
    <w:rsid w:val="006533B7"/>
    <w:rsid w:val="00654CFD"/>
    <w:rsid w:val="00656958"/>
    <w:rsid w:val="006648BF"/>
    <w:rsid w:val="00675784"/>
    <w:rsid w:val="006773B7"/>
    <w:rsid w:val="00693B06"/>
    <w:rsid w:val="006A2D2A"/>
    <w:rsid w:val="006A45C4"/>
    <w:rsid w:val="006A4B64"/>
    <w:rsid w:val="006A6ACE"/>
    <w:rsid w:val="006A7945"/>
    <w:rsid w:val="006B187B"/>
    <w:rsid w:val="006C047E"/>
    <w:rsid w:val="006C2635"/>
    <w:rsid w:val="006C3537"/>
    <w:rsid w:val="006D31E4"/>
    <w:rsid w:val="006D3B14"/>
    <w:rsid w:val="006F01AB"/>
    <w:rsid w:val="006F06CD"/>
    <w:rsid w:val="00703E50"/>
    <w:rsid w:val="00704E75"/>
    <w:rsid w:val="0071011D"/>
    <w:rsid w:val="0071095A"/>
    <w:rsid w:val="00712B9C"/>
    <w:rsid w:val="00713D7B"/>
    <w:rsid w:val="00717CA2"/>
    <w:rsid w:val="0072134A"/>
    <w:rsid w:val="00722472"/>
    <w:rsid w:val="00740DC0"/>
    <w:rsid w:val="0075796D"/>
    <w:rsid w:val="007649D4"/>
    <w:rsid w:val="00770489"/>
    <w:rsid w:val="00774DC4"/>
    <w:rsid w:val="007827FC"/>
    <w:rsid w:val="007935F1"/>
    <w:rsid w:val="007B4F65"/>
    <w:rsid w:val="007C775C"/>
    <w:rsid w:val="007D320F"/>
    <w:rsid w:val="007D602F"/>
    <w:rsid w:val="007D6FF8"/>
    <w:rsid w:val="007F0C12"/>
    <w:rsid w:val="00802FCE"/>
    <w:rsid w:val="008046C1"/>
    <w:rsid w:val="00813A62"/>
    <w:rsid w:val="00814003"/>
    <w:rsid w:val="008145C0"/>
    <w:rsid w:val="00831FF6"/>
    <w:rsid w:val="00832AD7"/>
    <w:rsid w:val="0083759E"/>
    <w:rsid w:val="00845051"/>
    <w:rsid w:val="00847A42"/>
    <w:rsid w:val="00855F76"/>
    <w:rsid w:val="00857A57"/>
    <w:rsid w:val="00861BF6"/>
    <w:rsid w:val="00862C28"/>
    <w:rsid w:val="0086503A"/>
    <w:rsid w:val="00866DB4"/>
    <w:rsid w:val="00867A85"/>
    <w:rsid w:val="00867F60"/>
    <w:rsid w:val="008708FB"/>
    <w:rsid w:val="00873657"/>
    <w:rsid w:val="00875936"/>
    <w:rsid w:val="008759F2"/>
    <w:rsid w:val="008762C9"/>
    <w:rsid w:val="00876EAC"/>
    <w:rsid w:val="00881623"/>
    <w:rsid w:val="00897F2C"/>
    <w:rsid w:val="008A0590"/>
    <w:rsid w:val="008B5882"/>
    <w:rsid w:val="008C2830"/>
    <w:rsid w:val="008D06A7"/>
    <w:rsid w:val="008D07F5"/>
    <w:rsid w:val="008D3AB9"/>
    <w:rsid w:val="008E5E37"/>
    <w:rsid w:val="008F5687"/>
    <w:rsid w:val="00903314"/>
    <w:rsid w:val="00903F49"/>
    <w:rsid w:val="00903FCB"/>
    <w:rsid w:val="00904350"/>
    <w:rsid w:val="0090481B"/>
    <w:rsid w:val="00911408"/>
    <w:rsid w:val="00924B66"/>
    <w:rsid w:val="009265DF"/>
    <w:rsid w:val="009313EB"/>
    <w:rsid w:val="00935ED0"/>
    <w:rsid w:val="009412ED"/>
    <w:rsid w:val="00944CB7"/>
    <w:rsid w:val="009450C5"/>
    <w:rsid w:val="00945708"/>
    <w:rsid w:val="00945F34"/>
    <w:rsid w:val="0095041A"/>
    <w:rsid w:val="00952FDF"/>
    <w:rsid w:val="0096173A"/>
    <w:rsid w:val="00963B82"/>
    <w:rsid w:val="00971A4A"/>
    <w:rsid w:val="00975DA2"/>
    <w:rsid w:val="009810F1"/>
    <w:rsid w:val="00981C78"/>
    <w:rsid w:val="00986EBD"/>
    <w:rsid w:val="0099411A"/>
    <w:rsid w:val="009B5EB8"/>
    <w:rsid w:val="009B76B4"/>
    <w:rsid w:val="009C0A4E"/>
    <w:rsid w:val="009C5823"/>
    <w:rsid w:val="009C6699"/>
    <w:rsid w:val="009D0C99"/>
    <w:rsid w:val="009D6D78"/>
    <w:rsid w:val="009D6F2E"/>
    <w:rsid w:val="009E5A20"/>
    <w:rsid w:val="009F146D"/>
    <w:rsid w:val="009F7239"/>
    <w:rsid w:val="00A006AE"/>
    <w:rsid w:val="00A113B8"/>
    <w:rsid w:val="00A21596"/>
    <w:rsid w:val="00A239C0"/>
    <w:rsid w:val="00A2491F"/>
    <w:rsid w:val="00A25DEA"/>
    <w:rsid w:val="00A30AD2"/>
    <w:rsid w:val="00A317AB"/>
    <w:rsid w:val="00A32070"/>
    <w:rsid w:val="00A41ACA"/>
    <w:rsid w:val="00A426DB"/>
    <w:rsid w:val="00A52009"/>
    <w:rsid w:val="00A521E7"/>
    <w:rsid w:val="00A605A7"/>
    <w:rsid w:val="00A62EE6"/>
    <w:rsid w:val="00A655FC"/>
    <w:rsid w:val="00A70224"/>
    <w:rsid w:val="00A76955"/>
    <w:rsid w:val="00A811B0"/>
    <w:rsid w:val="00A81DE1"/>
    <w:rsid w:val="00A835C7"/>
    <w:rsid w:val="00A8415F"/>
    <w:rsid w:val="00A920DD"/>
    <w:rsid w:val="00AA22DD"/>
    <w:rsid w:val="00AA5E23"/>
    <w:rsid w:val="00AB361F"/>
    <w:rsid w:val="00AC41C0"/>
    <w:rsid w:val="00AC5726"/>
    <w:rsid w:val="00AD0680"/>
    <w:rsid w:val="00AD1214"/>
    <w:rsid w:val="00AD431B"/>
    <w:rsid w:val="00AE3B93"/>
    <w:rsid w:val="00B102A6"/>
    <w:rsid w:val="00B125AB"/>
    <w:rsid w:val="00B20B4B"/>
    <w:rsid w:val="00B4104A"/>
    <w:rsid w:val="00B43EC2"/>
    <w:rsid w:val="00B45EB4"/>
    <w:rsid w:val="00B46227"/>
    <w:rsid w:val="00B555B6"/>
    <w:rsid w:val="00B55683"/>
    <w:rsid w:val="00B752D2"/>
    <w:rsid w:val="00B76F1D"/>
    <w:rsid w:val="00B830B0"/>
    <w:rsid w:val="00B85EF4"/>
    <w:rsid w:val="00B87ADA"/>
    <w:rsid w:val="00B92FED"/>
    <w:rsid w:val="00B9612F"/>
    <w:rsid w:val="00B96565"/>
    <w:rsid w:val="00B96ACB"/>
    <w:rsid w:val="00BA0518"/>
    <w:rsid w:val="00BA27E0"/>
    <w:rsid w:val="00BB4B50"/>
    <w:rsid w:val="00BB6B79"/>
    <w:rsid w:val="00BB763D"/>
    <w:rsid w:val="00BC33F6"/>
    <w:rsid w:val="00BC5FE9"/>
    <w:rsid w:val="00BD1AD9"/>
    <w:rsid w:val="00BD2511"/>
    <w:rsid w:val="00BE2B00"/>
    <w:rsid w:val="00BF1601"/>
    <w:rsid w:val="00BF2174"/>
    <w:rsid w:val="00BF341B"/>
    <w:rsid w:val="00C02001"/>
    <w:rsid w:val="00C037A8"/>
    <w:rsid w:val="00C0470F"/>
    <w:rsid w:val="00C057C3"/>
    <w:rsid w:val="00C0705B"/>
    <w:rsid w:val="00C11013"/>
    <w:rsid w:val="00C110B7"/>
    <w:rsid w:val="00C14885"/>
    <w:rsid w:val="00C16228"/>
    <w:rsid w:val="00C1691E"/>
    <w:rsid w:val="00C26127"/>
    <w:rsid w:val="00C2712F"/>
    <w:rsid w:val="00C3033F"/>
    <w:rsid w:val="00C311CA"/>
    <w:rsid w:val="00C31C0C"/>
    <w:rsid w:val="00C42DDC"/>
    <w:rsid w:val="00C44FD7"/>
    <w:rsid w:val="00C52E47"/>
    <w:rsid w:val="00C56030"/>
    <w:rsid w:val="00C56BCC"/>
    <w:rsid w:val="00C65E34"/>
    <w:rsid w:val="00C80856"/>
    <w:rsid w:val="00C8447D"/>
    <w:rsid w:val="00C8516C"/>
    <w:rsid w:val="00C900F7"/>
    <w:rsid w:val="00C91E10"/>
    <w:rsid w:val="00C968A1"/>
    <w:rsid w:val="00C96D77"/>
    <w:rsid w:val="00CA030C"/>
    <w:rsid w:val="00CA1370"/>
    <w:rsid w:val="00CA42D2"/>
    <w:rsid w:val="00CA6609"/>
    <w:rsid w:val="00CC23AD"/>
    <w:rsid w:val="00CC3316"/>
    <w:rsid w:val="00CD5266"/>
    <w:rsid w:val="00CE45DA"/>
    <w:rsid w:val="00CE4CD9"/>
    <w:rsid w:val="00CE651B"/>
    <w:rsid w:val="00CE6883"/>
    <w:rsid w:val="00CE6ACC"/>
    <w:rsid w:val="00CF235D"/>
    <w:rsid w:val="00CF6781"/>
    <w:rsid w:val="00D12135"/>
    <w:rsid w:val="00D13B18"/>
    <w:rsid w:val="00D16C92"/>
    <w:rsid w:val="00D20300"/>
    <w:rsid w:val="00D23503"/>
    <w:rsid w:val="00D259CE"/>
    <w:rsid w:val="00D319A0"/>
    <w:rsid w:val="00D3676E"/>
    <w:rsid w:val="00D37406"/>
    <w:rsid w:val="00D52C2A"/>
    <w:rsid w:val="00D5308D"/>
    <w:rsid w:val="00D61258"/>
    <w:rsid w:val="00D61A5C"/>
    <w:rsid w:val="00D65D92"/>
    <w:rsid w:val="00D661DA"/>
    <w:rsid w:val="00D66AC7"/>
    <w:rsid w:val="00D7266B"/>
    <w:rsid w:val="00D76335"/>
    <w:rsid w:val="00D84108"/>
    <w:rsid w:val="00D84E25"/>
    <w:rsid w:val="00D9505A"/>
    <w:rsid w:val="00D95D22"/>
    <w:rsid w:val="00D97A3E"/>
    <w:rsid w:val="00DA3CA6"/>
    <w:rsid w:val="00DA6B28"/>
    <w:rsid w:val="00DB2D35"/>
    <w:rsid w:val="00DC682D"/>
    <w:rsid w:val="00DD594E"/>
    <w:rsid w:val="00DF5379"/>
    <w:rsid w:val="00DF5C47"/>
    <w:rsid w:val="00E01B81"/>
    <w:rsid w:val="00E03371"/>
    <w:rsid w:val="00E0357B"/>
    <w:rsid w:val="00E0439D"/>
    <w:rsid w:val="00E10509"/>
    <w:rsid w:val="00E112B3"/>
    <w:rsid w:val="00E213AB"/>
    <w:rsid w:val="00E449D3"/>
    <w:rsid w:val="00E51318"/>
    <w:rsid w:val="00E55C36"/>
    <w:rsid w:val="00E60791"/>
    <w:rsid w:val="00E62DCE"/>
    <w:rsid w:val="00E6418F"/>
    <w:rsid w:val="00E66D2E"/>
    <w:rsid w:val="00E74A42"/>
    <w:rsid w:val="00E767EA"/>
    <w:rsid w:val="00E77767"/>
    <w:rsid w:val="00E844D4"/>
    <w:rsid w:val="00E90383"/>
    <w:rsid w:val="00E96A7F"/>
    <w:rsid w:val="00EB44D7"/>
    <w:rsid w:val="00EB77D0"/>
    <w:rsid w:val="00EC20E4"/>
    <w:rsid w:val="00ED51FF"/>
    <w:rsid w:val="00EE5F74"/>
    <w:rsid w:val="00EE66C8"/>
    <w:rsid w:val="00EF5D66"/>
    <w:rsid w:val="00F00786"/>
    <w:rsid w:val="00F01918"/>
    <w:rsid w:val="00F02AF1"/>
    <w:rsid w:val="00F07BE6"/>
    <w:rsid w:val="00F12A13"/>
    <w:rsid w:val="00F131AB"/>
    <w:rsid w:val="00F1596B"/>
    <w:rsid w:val="00F166C1"/>
    <w:rsid w:val="00F25C75"/>
    <w:rsid w:val="00F33CEE"/>
    <w:rsid w:val="00F33E17"/>
    <w:rsid w:val="00F35591"/>
    <w:rsid w:val="00F44615"/>
    <w:rsid w:val="00F46F3B"/>
    <w:rsid w:val="00F53EBE"/>
    <w:rsid w:val="00F57781"/>
    <w:rsid w:val="00F60118"/>
    <w:rsid w:val="00F635F9"/>
    <w:rsid w:val="00F72A1C"/>
    <w:rsid w:val="00F7473B"/>
    <w:rsid w:val="00F93D83"/>
    <w:rsid w:val="00F94D53"/>
    <w:rsid w:val="00FA4139"/>
    <w:rsid w:val="00FB7B54"/>
    <w:rsid w:val="00FC7142"/>
    <w:rsid w:val="00FD6BBC"/>
    <w:rsid w:val="00FD76B7"/>
    <w:rsid w:val="00FE40D9"/>
    <w:rsid w:val="00FE647C"/>
    <w:rsid w:val="2AF45A76"/>
    <w:rsid w:val="2E3F1D25"/>
    <w:rsid w:val="35ACD4FD"/>
    <w:rsid w:val="3E4D56DB"/>
    <w:rsid w:val="3F7EB53A"/>
    <w:rsid w:val="4B785C32"/>
    <w:rsid w:val="569A5A9A"/>
    <w:rsid w:val="7CDF87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Document Map"/>
    <w:basedOn w:val="1"/>
    <w:link w:val="21"/>
    <w:semiHidden/>
    <w:unhideWhenUsed/>
    <w:uiPriority w:val="99"/>
    <w:rPr>
      <w:rFonts w:ascii="宋体"/>
      <w:sz w:val="18"/>
      <w:szCs w:val="18"/>
    </w:rPr>
  </w:style>
  <w:style w:type="paragraph" w:styleId="6">
    <w:name w:val="annotation text"/>
    <w:basedOn w:val="1"/>
    <w:link w:val="31"/>
    <w:semiHidden/>
    <w:qFormat/>
    <w:uiPriority w:val="99"/>
    <w:pPr>
      <w:jc w:val="left"/>
    </w:pPr>
    <w:rPr>
      <w:rFonts w:ascii="Calibri" w:hAnsi="Calibri"/>
      <w:kern w:val="0"/>
      <w:sz w:val="20"/>
      <w:szCs w:val="20"/>
    </w:rPr>
  </w:style>
  <w:style w:type="paragraph" w:styleId="7">
    <w:name w:val="toc 3"/>
    <w:basedOn w:val="1"/>
    <w:next w:val="1"/>
    <w:unhideWhenUsed/>
    <w:uiPriority w:val="39"/>
    <w:pPr>
      <w:ind w:left="840" w:leftChars="400"/>
    </w:pPr>
  </w:style>
  <w:style w:type="paragraph" w:styleId="8">
    <w:name w:val="Date"/>
    <w:basedOn w:val="1"/>
    <w:next w:val="1"/>
    <w:link w:val="27"/>
    <w:semiHidden/>
    <w:unhideWhenUsed/>
    <w:uiPriority w:val="99"/>
    <w:pPr>
      <w:ind w:left="100" w:leftChars="2500"/>
    </w:pPr>
  </w:style>
  <w:style w:type="paragraph" w:styleId="9">
    <w:name w:val="Balloon Text"/>
    <w:basedOn w:val="1"/>
    <w:link w:val="32"/>
    <w:semiHidden/>
    <w:unhideWhenUsed/>
    <w:uiPriority w:val="99"/>
    <w:rPr>
      <w:sz w:val="18"/>
      <w:szCs w:val="18"/>
    </w:rPr>
  </w:style>
  <w:style w:type="paragraph" w:styleId="10">
    <w:name w:val="footer"/>
    <w:basedOn w:val="1"/>
    <w:link w:val="23"/>
    <w:unhideWhenUsed/>
    <w:uiPriority w:val="99"/>
    <w:pPr>
      <w:tabs>
        <w:tab w:val="center" w:pos="4153"/>
        <w:tab w:val="right" w:pos="8306"/>
      </w:tabs>
      <w:snapToGrid w:val="0"/>
      <w:jc w:val="left"/>
    </w:pPr>
    <w:rPr>
      <w:sz w:val="18"/>
      <w:szCs w:val="18"/>
    </w:rPr>
  </w:style>
  <w:style w:type="paragraph" w:styleId="11">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39"/>
    <w:pPr>
      <w:spacing w:before="120" w:after="120"/>
      <w:jc w:val="left"/>
    </w:pPr>
    <w:rPr>
      <w:b/>
      <w:bCs/>
      <w:caps/>
      <w:sz w:val="20"/>
      <w:szCs w:val="20"/>
    </w:rPr>
  </w:style>
  <w:style w:type="paragraph" w:styleId="13">
    <w:name w:val="toc 2"/>
    <w:basedOn w:val="1"/>
    <w:next w:val="1"/>
    <w:unhideWhenUsed/>
    <w:uiPriority w:val="39"/>
    <w:pPr>
      <w:ind w:left="420" w:leftChars="200"/>
    </w:pPr>
  </w:style>
  <w:style w:type="table" w:styleId="15">
    <w:name w:val="Table Grid"/>
    <w:basedOn w:val="1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iPriority w:val="99"/>
    <w:rPr>
      <w:color w:val="0000FF"/>
      <w:u w:val="single"/>
    </w:rPr>
  </w:style>
  <w:style w:type="character" w:styleId="18">
    <w:name w:val="annotation reference"/>
    <w:semiHidden/>
    <w:qFormat/>
    <w:uiPriority w:val="99"/>
    <w:rPr>
      <w:rFonts w:cs="Times New Roman"/>
      <w:sz w:val="21"/>
    </w:rPr>
  </w:style>
  <w:style w:type="character" w:customStyle="1" w:styleId="19">
    <w:name w:val="标题 1 字符"/>
    <w:basedOn w:val="16"/>
    <w:link w:val="2"/>
    <w:uiPriority w:val="0"/>
    <w:rPr>
      <w:rFonts w:ascii="Times New Roman" w:hAnsi="Times New Roman" w:eastAsia="宋体" w:cs="Times New Roman"/>
      <w:b/>
      <w:bCs/>
      <w:kern w:val="44"/>
      <w:sz w:val="44"/>
      <w:szCs w:val="44"/>
    </w:rPr>
  </w:style>
  <w:style w:type="paragraph" w:customStyle="1" w:styleId="20">
    <w:name w:val="Char Char Char1 Char Char"/>
    <w:basedOn w:val="5"/>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21">
    <w:name w:val="文档结构图 字符"/>
    <w:basedOn w:val="16"/>
    <w:link w:val="5"/>
    <w:semiHidden/>
    <w:uiPriority w:val="99"/>
    <w:rPr>
      <w:rFonts w:ascii="宋体" w:hAnsi="Times New Roman" w:eastAsia="宋体" w:cs="Times New Roman"/>
      <w:sz w:val="18"/>
      <w:szCs w:val="18"/>
    </w:rPr>
  </w:style>
  <w:style w:type="character" w:customStyle="1" w:styleId="22">
    <w:name w:val="页眉 字符"/>
    <w:basedOn w:val="16"/>
    <w:link w:val="11"/>
    <w:uiPriority w:val="99"/>
    <w:rPr>
      <w:rFonts w:ascii="Times New Roman" w:hAnsi="Times New Roman" w:eastAsia="宋体" w:cs="Times New Roman"/>
      <w:sz w:val="18"/>
      <w:szCs w:val="18"/>
    </w:rPr>
  </w:style>
  <w:style w:type="character" w:customStyle="1" w:styleId="23">
    <w:name w:val="页脚 字符"/>
    <w:basedOn w:val="16"/>
    <w:link w:val="10"/>
    <w:uiPriority w:val="99"/>
    <w:rPr>
      <w:rFonts w:ascii="Times New Roman" w:hAnsi="Times New Roman" w:eastAsia="宋体" w:cs="Times New Roman"/>
      <w:sz w:val="18"/>
      <w:szCs w:val="18"/>
    </w:rPr>
  </w:style>
  <w:style w:type="character" w:customStyle="1" w:styleId="24">
    <w:name w:val="标题 2 字符"/>
    <w:basedOn w:val="16"/>
    <w:link w:val="3"/>
    <w:uiPriority w:val="9"/>
    <w:rPr>
      <w:rFonts w:asciiTheme="majorHAnsi" w:hAnsiTheme="majorHAnsi" w:eastAsiaTheme="majorEastAsia" w:cstheme="majorBidi"/>
      <w:b/>
      <w:bCs/>
      <w:sz w:val="32"/>
      <w:szCs w:val="32"/>
    </w:rPr>
  </w:style>
  <w:style w:type="character" w:customStyle="1" w:styleId="25">
    <w:name w:val="标题 3 字符"/>
    <w:basedOn w:val="16"/>
    <w:link w:val="4"/>
    <w:uiPriority w:val="9"/>
    <w:rPr>
      <w:rFonts w:ascii="Times New Roman" w:hAnsi="Times New Roman" w:eastAsia="宋体" w:cs="Times New Roman"/>
      <w:b/>
      <w:bCs/>
      <w:sz w:val="32"/>
      <w:szCs w:val="32"/>
    </w:rPr>
  </w:style>
  <w:style w:type="paragraph" w:customStyle="1" w:styleId="26">
    <w:name w:val="修订1"/>
    <w:hidden/>
    <w:semiHidden/>
    <w:uiPriority w:val="99"/>
    <w:rPr>
      <w:rFonts w:ascii="Times New Roman" w:hAnsi="Times New Roman" w:eastAsia="宋体" w:cs="Times New Roman"/>
      <w:kern w:val="2"/>
      <w:sz w:val="21"/>
      <w:szCs w:val="24"/>
      <w:lang w:val="en-US" w:eastAsia="zh-CN" w:bidi="ar-SA"/>
    </w:rPr>
  </w:style>
  <w:style w:type="character" w:customStyle="1" w:styleId="27">
    <w:name w:val="日期 字符"/>
    <w:basedOn w:val="16"/>
    <w:link w:val="8"/>
    <w:semiHidden/>
    <w:uiPriority w:val="99"/>
    <w:rPr>
      <w:rFonts w:ascii="Times New Roman" w:hAnsi="Times New Roman" w:eastAsia="宋体" w:cs="Times New Roman"/>
      <w:szCs w:val="24"/>
    </w:rPr>
  </w:style>
  <w:style w:type="character" w:customStyle="1" w:styleId="28">
    <w:name w:val="fontstyle01"/>
    <w:basedOn w:val="16"/>
    <w:uiPriority w:val="0"/>
    <w:rPr>
      <w:rFonts w:hint="default" w:ascii="Times New Roman" w:hAnsi="Times New Roman" w:cs="Times New Roman"/>
      <w:color w:val="000000"/>
      <w:sz w:val="22"/>
      <w:szCs w:val="22"/>
    </w:rPr>
  </w:style>
  <w:style w:type="character" w:customStyle="1" w:styleId="29">
    <w:name w:val="fontstyle11"/>
    <w:basedOn w:val="16"/>
    <w:uiPriority w:val="0"/>
    <w:rPr>
      <w:rFonts w:hint="eastAsia" w:ascii="宋体" w:hAnsi="宋体" w:eastAsia="宋体"/>
      <w:color w:val="000000"/>
      <w:sz w:val="22"/>
      <w:szCs w:val="22"/>
    </w:rPr>
  </w:style>
  <w:style w:type="character" w:customStyle="1" w:styleId="30">
    <w:name w:val="批注文字 字符"/>
    <w:basedOn w:val="16"/>
    <w:semiHidden/>
    <w:uiPriority w:val="99"/>
    <w:rPr>
      <w:rFonts w:ascii="Times New Roman" w:hAnsi="Times New Roman" w:eastAsia="宋体" w:cs="Times New Roman"/>
      <w:szCs w:val="24"/>
    </w:rPr>
  </w:style>
  <w:style w:type="character" w:customStyle="1" w:styleId="31">
    <w:name w:val="批注文字 字符1"/>
    <w:link w:val="6"/>
    <w:semiHidden/>
    <w:locked/>
    <w:uiPriority w:val="99"/>
    <w:rPr>
      <w:rFonts w:ascii="Calibri" w:hAnsi="Calibri" w:eastAsia="宋体" w:cs="Times New Roman"/>
      <w:kern w:val="0"/>
      <w:sz w:val="20"/>
      <w:szCs w:val="20"/>
    </w:rPr>
  </w:style>
  <w:style w:type="character" w:customStyle="1" w:styleId="32">
    <w:name w:val="批注框文本 字符"/>
    <w:basedOn w:val="16"/>
    <w:link w:val="9"/>
    <w:semiHidden/>
    <w:uiPriority w:val="99"/>
    <w:rPr>
      <w:rFonts w:ascii="Times New Roman" w:hAnsi="Times New Roman" w:eastAsia="宋体" w:cs="Times New Roman"/>
      <w:sz w:val="18"/>
      <w:szCs w:val="18"/>
    </w:rPr>
  </w:style>
  <w:style w:type="paragraph" w:customStyle="1" w:styleId="33">
    <w:name w:val="段"/>
    <w:link w:val="34"/>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4">
    <w:name w:val="段 Char"/>
    <w:link w:val="33"/>
    <w:uiPriority w:val="0"/>
    <w:rPr>
      <w:rFonts w:ascii="宋体" w:hAnsi="Times New Roman" w:eastAsia="宋体" w:cs="Times New Roman"/>
      <w:kern w:val="0"/>
      <w:szCs w:val="20"/>
    </w:rPr>
  </w:style>
  <w:style w:type="paragraph" w:customStyle="1" w:styleId="35">
    <w:name w:val="附录表标号"/>
    <w:basedOn w:val="1"/>
    <w:next w:val="33"/>
    <w:uiPriority w:val="0"/>
    <w:pPr>
      <w:numPr>
        <w:ilvl w:val="0"/>
        <w:numId w:val="1"/>
      </w:numPr>
      <w:spacing w:line="14" w:lineRule="exact"/>
      <w:jc w:val="center"/>
      <w:outlineLvl w:val="0"/>
    </w:pPr>
    <w:rPr>
      <w:color w:val="FFFFFF"/>
    </w:rPr>
  </w:style>
  <w:style w:type="paragraph" w:customStyle="1" w:styleId="36">
    <w:name w:val="附录表标题"/>
    <w:basedOn w:val="1"/>
    <w:next w:val="33"/>
    <w:uiPriority w:val="0"/>
    <w:pPr>
      <w:numPr>
        <w:ilvl w:val="1"/>
        <w:numId w:val="1"/>
      </w:numPr>
      <w:spacing w:before="50" w:beforeLines="50" w:after="50" w:afterLines="50"/>
      <w:jc w:val="center"/>
    </w:pPr>
    <w:rPr>
      <w:rFonts w:ascii="黑体" w:eastAsia="黑体"/>
      <w:szCs w:val="21"/>
    </w:rPr>
  </w:style>
  <w:style w:type="paragraph" w:customStyle="1" w:styleId="37">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744AAE-F221-45A6-BB47-60D4545477E2}">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2564</Words>
  <Characters>14616</Characters>
  <Lines>121</Lines>
  <Paragraphs>34</Paragraphs>
  <TotalTime>0</TotalTime>
  <ScaleCrop>false</ScaleCrop>
  <LinksUpToDate>false</LinksUpToDate>
  <CharactersWithSpaces>17146</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2014-06-06T23:36:00Z</dcterms:created>
  <dc:creator>DELL</dc:creator>
  <cp:lastModifiedBy>魏楠</cp:lastModifiedBy>
  <cp:lastPrinted>2022-04-21T18:12:00Z</cp:lastPrinted>
  <dcterms:modified xsi:type="dcterms:W3CDTF">2026-04-16T15:11:36Z</dcterms:modified>
  <cp:revision>559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2052-12.1.25867.25867</vt:lpwstr>
  </property>
  <property fmtid="{D5CDD505-2E9C-101B-9397-08002B2CF9AE}" pid="3" name="ICV">
    <vt:lpwstr>9AE839D5B05D4CB39FF1D4E33897043E_12</vt:lpwstr>
  </property>
</Properties>
</file>